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7B" w:rsidRPr="00C17A93" w:rsidRDefault="0000597B" w:rsidP="00005491">
      <w:pPr>
        <w:rPr>
          <w:rFonts w:ascii="ＭＳ ゴシック" w:eastAsia="ＭＳ ゴシック" w:hAnsi="ＭＳ ゴシック"/>
        </w:rPr>
      </w:pPr>
      <w:bookmarkStart w:id="0" w:name="_GoBack"/>
      <w:bookmarkEnd w:id="0"/>
      <w:r w:rsidRPr="00C17A93">
        <w:rPr>
          <w:rFonts w:ascii="ＭＳ ゴシック" w:eastAsia="ＭＳ ゴシック" w:hAnsi="ＭＳ ゴシック" w:hint="eastAsia"/>
        </w:rPr>
        <w:t>テレジア・デグナー　２０１８年</w:t>
      </w:r>
    </w:p>
    <w:p w:rsidR="0000597B" w:rsidRPr="00C17A93" w:rsidRDefault="0000597B" w:rsidP="00005491">
      <w:pPr>
        <w:rPr>
          <w:rFonts w:ascii="ＭＳ ゴシック" w:eastAsia="ＭＳ ゴシック" w:hAnsi="ＭＳ ゴシック"/>
          <w:sz w:val="28"/>
          <w:szCs w:val="28"/>
        </w:rPr>
      </w:pPr>
      <w:r w:rsidRPr="00C17A93">
        <w:rPr>
          <w:rFonts w:ascii="ＭＳ ゴシック" w:eastAsia="ＭＳ ゴシック" w:hAnsi="ＭＳ ゴシック" w:hint="eastAsia"/>
          <w:sz w:val="28"/>
          <w:szCs w:val="28"/>
        </w:rPr>
        <w:t>インクルーシブな平等をめざして</w:t>
      </w:r>
      <w:r w:rsidR="00C17A93">
        <w:rPr>
          <w:rFonts w:ascii="ＭＳ ゴシック" w:eastAsia="ＭＳ ゴシック" w:hAnsi="ＭＳ ゴシック" w:hint="eastAsia"/>
          <w:sz w:val="28"/>
          <w:szCs w:val="28"/>
        </w:rPr>
        <w:t>：</w:t>
      </w:r>
      <w:r w:rsidRPr="00C17A93">
        <w:rPr>
          <w:rFonts w:ascii="ＭＳ ゴシック" w:eastAsia="ＭＳ ゴシック" w:hAnsi="ＭＳ ゴシック" w:hint="eastAsia"/>
          <w:sz w:val="28"/>
          <w:szCs w:val="28"/>
        </w:rPr>
        <w:t>障害者権利委員会の１０年</w:t>
      </w:r>
    </w:p>
    <w:p w:rsidR="0000597B" w:rsidRDefault="00C17A93" w:rsidP="00005491">
      <w:r>
        <w:rPr>
          <w:rFonts w:cs="Arial"/>
          <w:b/>
          <w:bCs/>
          <w:noProof/>
          <w:sz w:val="28"/>
          <w:szCs w:val="28"/>
        </w:rPr>
        <w:drawing>
          <wp:inline distT="0" distB="0" distL="0" distR="0" wp14:anchorId="63D97DF2" wp14:editId="29C18807">
            <wp:extent cx="3489960" cy="2761488"/>
            <wp:effectExtent l="0" t="0" r="0" b="1270"/>
            <wp:docPr id="1" name="Grafik 1" descr="logo says: CRPD 10 years. disability rights are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PD-10YR-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9960" cy="2761488"/>
                    </a:xfrm>
                    <a:prstGeom prst="rect">
                      <a:avLst/>
                    </a:prstGeom>
                  </pic:spPr>
                </pic:pic>
              </a:graphicData>
            </a:graphic>
          </wp:inline>
        </w:drawing>
      </w:r>
    </w:p>
    <w:p w:rsidR="00C17A93" w:rsidRDefault="00C17A93" w:rsidP="00005491"/>
    <w:p w:rsidR="00757DE3" w:rsidRDefault="00757DE3" w:rsidP="00005491">
      <w:r w:rsidRPr="00757DE3">
        <w:t>INT_CRPD_INF_20_27621_E</w:t>
      </w:r>
    </w:p>
    <w:p w:rsidR="0000597B" w:rsidRDefault="00005491" w:rsidP="00005491">
      <w:pPr>
        <w:rPr>
          <w:rFonts w:ascii="Times New Roman" w:hAnsi="Times New Roman" w:cs="Times New Roman"/>
          <w:sz w:val="28"/>
          <w:szCs w:val="28"/>
        </w:rPr>
      </w:pPr>
      <w:r w:rsidRPr="0000597B">
        <w:rPr>
          <w:rFonts w:ascii="Times New Roman" w:hAnsi="Times New Roman" w:cs="Times New Roman"/>
          <w:sz w:val="28"/>
          <w:szCs w:val="28"/>
        </w:rPr>
        <w:t xml:space="preserve">Towards Inclusive Equality: </w:t>
      </w:r>
    </w:p>
    <w:p w:rsidR="003F6448" w:rsidRPr="0000597B" w:rsidRDefault="00005491" w:rsidP="00005491">
      <w:pPr>
        <w:rPr>
          <w:rFonts w:ascii="Times New Roman" w:hAnsi="Times New Roman" w:cs="Times New Roman"/>
          <w:sz w:val="28"/>
          <w:szCs w:val="28"/>
        </w:rPr>
      </w:pPr>
      <w:r w:rsidRPr="0000597B">
        <w:rPr>
          <w:rFonts w:ascii="Times New Roman" w:hAnsi="Times New Roman" w:cs="Times New Roman"/>
          <w:sz w:val="28"/>
          <w:szCs w:val="28"/>
        </w:rPr>
        <w:t>10 Years Committee on the Rights of Persons with Disabilities</w:t>
      </w:r>
    </w:p>
    <w:p w:rsidR="00005491" w:rsidRDefault="00005491" w:rsidP="00005491">
      <w:r>
        <w:rPr>
          <w:rFonts w:hint="eastAsia"/>
        </w:rPr>
        <w:t>©</w:t>
      </w:r>
      <w:r>
        <w:t xml:space="preserve"> Theresia Degener, 2018</w:t>
      </w:r>
    </w:p>
    <w:p w:rsidR="00005491" w:rsidRDefault="00005491" w:rsidP="00005491">
      <w:r>
        <w:t>Written by: Marine Uldry and Theresia Degener</w:t>
      </w:r>
    </w:p>
    <w:p w:rsidR="00005491" w:rsidRPr="00C17A93" w:rsidRDefault="0000597B" w:rsidP="00005491">
      <w:pPr>
        <w:rPr>
          <w:rFonts w:ascii="ＭＳ ゴシック" w:eastAsia="ＭＳ ゴシック" w:hAnsi="ＭＳ ゴシック"/>
          <w:sz w:val="18"/>
          <w:szCs w:val="18"/>
        </w:rPr>
      </w:pPr>
      <w:r w:rsidRPr="00C17A93">
        <w:rPr>
          <w:rFonts w:ascii="ＭＳ ゴシック" w:eastAsia="ＭＳ ゴシック" w:hAnsi="ＭＳ ゴシック" w:hint="eastAsia"/>
          <w:sz w:val="18"/>
          <w:szCs w:val="18"/>
        </w:rPr>
        <w:t>（原文はCRPD委員会のサイトのE</w:t>
      </w:r>
      <w:r w:rsidRPr="00C17A93">
        <w:rPr>
          <w:rFonts w:ascii="ＭＳ ゴシック" w:eastAsia="ＭＳ ゴシック" w:hAnsi="ＭＳ ゴシック"/>
          <w:sz w:val="18"/>
          <w:szCs w:val="18"/>
        </w:rPr>
        <w:t>vents</w:t>
      </w:r>
      <w:r w:rsidRPr="00C17A93">
        <w:rPr>
          <w:rFonts w:ascii="ＭＳ ゴシック" w:eastAsia="ＭＳ ゴシック" w:hAnsi="ＭＳ ゴシック" w:hint="eastAsia"/>
          <w:sz w:val="18"/>
          <w:szCs w:val="18"/>
        </w:rPr>
        <w:t>からでも上記文書番号の検索でも入手可能）</w:t>
      </w:r>
    </w:p>
    <w:p w:rsidR="00005491" w:rsidRDefault="00005491" w:rsidP="00005491"/>
    <w:p w:rsidR="0000597B" w:rsidRPr="00FF6309" w:rsidRDefault="0000597B" w:rsidP="0000597B">
      <w:pPr>
        <w:rPr>
          <w:rFonts w:ascii="ＭＳ ゴシック" w:eastAsia="ＭＳ ゴシック" w:hAnsi="ＭＳ ゴシック"/>
          <w:b/>
          <w:bCs/>
        </w:rPr>
      </w:pPr>
      <w:r w:rsidRPr="00FF6309">
        <w:rPr>
          <w:rFonts w:ascii="ＭＳ ゴシック" w:eastAsia="ＭＳ ゴシック" w:hAnsi="ＭＳ ゴシック" w:hint="eastAsia"/>
          <w:b/>
          <w:bCs/>
        </w:rPr>
        <w:t>目次</w:t>
      </w:r>
    </w:p>
    <w:p w:rsidR="0000597B" w:rsidRPr="00FF6309" w:rsidRDefault="0000597B" w:rsidP="0000597B">
      <w:pPr>
        <w:rPr>
          <w:rFonts w:ascii="ＭＳ ゴシック" w:eastAsia="ＭＳ ゴシック" w:hAnsi="ＭＳ ゴシック"/>
        </w:rPr>
      </w:pPr>
      <w:r w:rsidRPr="00FF6309">
        <w:rPr>
          <w:rFonts w:ascii="ＭＳ ゴシック" w:eastAsia="ＭＳ ゴシック" w:hAnsi="ＭＳ ゴシック"/>
        </w:rPr>
        <w:t>I.</w:t>
      </w:r>
      <w:r w:rsidR="005B4D8C">
        <w:rPr>
          <w:rFonts w:ascii="ＭＳ ゴシック" w:eastAsia="ＭＳ ゴシック" w:hAnsi="ＭＳ ゴシック"/>
        </w:rPr>
        <w:t xml:space="preserve"> </w:t>
      </w:r>
      <w:r w:rsidRPr="00FF6309">
        <w:rPr>
          <w:rFonts w:ascii="ＭＳ ゴシック" w:eastAsia="ＭＳ ゴシック" w:hAnsi="ＭＳ ゴシック"/>
        </w:rPr>
        <w:t>はじめに</w:t>
      </w:r>
    </w:p>
    <w:p w:rsidR="0000597B" w:rsidRPr="00FF6309" w:rsidRDefault="0000597B" w:rsidP="0000597B">
      <w:pPr>
        <w:rPr>
          <w:rFonts w:ascii="ＭＳ ゴシック" w:eastAsia="ＭＳ ゴシック" w:hAnsi="ＭＳ ゴシック"/>
        </w:rPr>
      </w:pPr>
      <w:r w:rsidRPr="00FF6309">
        <w:rPr>
          <w:rFonts w:ascii="ＭＳ ゴシック" w:eastAsia="ＭＳ ゴシック" w:hAnsi="ＭＳ ゴシック"/>
        </w:rPr>
        <w:t>II</w:t>
      </w:r>
      <w:r w:rsidR="00720EAA" w:rsidRPr="00FF6309">
        <w:rPr>
          <w:rFonts w:ascii="ＭＳ ゴシック" w:eastAsia="ＭＳ ゴシック" w:hAnsi="ＭＳ ゴシック"/>
        </w:rPr>
        <w:t>.</w:t>
      </w:r>
      <w:r w:rsidR="005B4D8C">
        <w:rPr>
          <w:rFonts w:ascii="ＭＳ ゴシック" w:eastAsia="ＭＳ ゴシック" w:hAnsi="ＭＳ ゴシック"/>
        </w:rPr>
        <w:t xml:space="preserve"> </w:t>
      </w:r>
      <w:r w:rsidRPr="00FF6309">
        <w:rPr>
          <w:rFonts w:ascii="ＭＳ ゴシック" w:eastAsia="ＭＳ ゴシック" w:hAnsi="ＭＳ ゴシック"/>
        </w:rPr>
        <w:t>条約に基づいてCRPD委員会が実施した活動</w:t>
      </w:r>
    </w:p>
    <w:p w:rsidR="0000597B" w:rsidRDefault="0000597B" w:rsidP="00FF6309">
      <w:pPr>
        <w:ind w:leftChars="202" w:left="424"/>
      </w:pPr>
      <w:r>
        <w:t>A.</w:t>
      </w:r>
      <w:r w:rsidR="005B4D8C">
        <w:t xml:space="preserve"> </w:t>
      </w:r>
      <w:r w:rsidR="00B61E9E">
        <w:t>一般的意見</w:t>
      </w:r>
      <w:r>
        <w:t>とガイドライン</w:t>
      </w:r>
    </w:p>
    <w:p w:rsidR="0000597B" w:rsidRDefault="0000597B" w:rsidP="00FF6309">
      <w:pPr>
        <w:ind w:leftChars="202" w:left="424"/>
      </w:pPr>
      <w:r>
        <w:t>B.</w:t>
      </w:r>
      <w:r w:rsidR="005B4D8C">
        <w:t xml:space="preserve"> </w:t>
      </w:r>
      <w:r>
        <w:t>締約国が提出した報告書の検討</w:t>
      </w:r>
    </w:p>
    <w:p w:rsidR="0000597B" w:rsidRDefault="0000597B" w:rsidP="00FF6309">
      <w:pPr>
        <w:ind w:leftChars="202" w:left="424"/>
      </w:pPr>
      <w:r>
        <w:t>C.</w:t>
      </w:r>
      <w:r w:rsidR="005B4D8C">
        <w:t xml:space="preserve"> </w:t>
      </w:r>
      <w:r w:rsidR="000D57E1">
        <w:rPr>
          <w:rFonts w:hint="eastAsia"/>
        </w:rPr>
        <w:t>総括所見の</w:t>
      </w:r>
      <w:r>
        <w:t>フォローアップ</w:t>
      </w:r>
    </w:p>
    <w:p w:rsidR="0000597B" w:rsidRPr="00FF6309" w:rsidRDefault="0000597B" w:rsidP="0000597B">
      <w:pPr>
        <w:rPr>
          <w:rFonts w:ascii="ＭＳ ゴシック" w:eastAsia="ＭＳ ゴシック" w:hAnsi="ＭＳ ゴシック"/>
        </w:rPr>
      </w:pPr>
      <w:r w:rsidRPr="00FF6309">
        <w:rPr>
          <w:rFonts w:ascii="ＭＳ ゴシック" w:eastAsia="ＭＳ ゴシック" w:hAnsi="ＭＳ ゴシック"/>
        </w:rPr>
        <w:t>III</w:t>
      </w:r>
      <w:r w:rsidR="00720EAA" w:rsidRPr="00FF6309">
        <w:rPr>
          <w:rFonts w:ascii="ＭＳ ゴシック" w:eastAsia="ＭＳ ゴシック" w:hAnsi="ＭＳ ゴシック"/>
        </w:rPr>
        <w:t>.</w:t>
      </w:r>
      <w:r w:rsidR="005B4D8C">
        <w:rPr>
          <w:rFonts w:ascii="ＭＳ ゴシック" w:eastAsia="ＭＳ ゴシック" w:hAnsi="ＭＳ ゴシック"/>
        </w:rPr>
        <w:t xml:space="preserve"> </w:t>
      </w:r>
      <w:r w:rsidR="000D57E1">
        <w:rPr>
          <w:rFonts w:ascii="ＭＳ ゴシック" w:eastAsia="ＭＳ ゴシック" w:hAnsi="ＭＳ ゴシック" w:hint="eastAsia"/>
        </w:rPr>
        <w:t>選択</w:t>
      </w:r>
      <w:r w:rsidRPr="00FF6309">
        <w:rPr>
          <w:rFonts w:ascii="ＭＳ ゴシック" w:eastAsia="ＭＳ ゴシック" w:hAnsi="ＭＳ ゴシック"/>
        </w:rPr>
        <w:t>議定書に基づいてCRPD委員会が実施</w:t>
      </w:r>
      <w:r w:rsidR="000D57E1">
        <w:rPr>
          <w:rFonts w:ascii="ＭＳ ゴシック" w:eastAsia="ＭＳ ゴシック" w:hAnsi="ＭＳ ゴシック" w:hint="eastAsia"/>
        </w:rPr>
        <w:t>した</w:t>
      </w:r>
      <w:r w:rsidRPr="00FF6309">
        <w:rPr>
          <w:rFonts w:ascii="ＭＳ ゴシック" w:eastAsia="ＭＳ ゴシック" w:hAnsi="ＭＳ ゴシック"/>
        </w:rPr>
        <w:t>活動</w:t>
      </w:r>
    </w:p>
    <w:p w:rsidR="0000597B" w:rsidRDefault="0000597B" w:rsidP="00FF6309">
      <w:pPr>
        <w:ind w:leftChars="202" w:left="424"/>
      </w:pPr>
      <w:r>
        <w:t>A.</w:t>
      </w:r>
      <w:r w:rsidR="005B4D8C">
        <w:t xml:space="preserve"> </w:t>
      </w:r>
      <w:r w:rsidR="000D57E1">
        <w:rPr>
          <w:rFonts w:hint="eastAsia"/>
        </w:rPr>
        <w:t>個人通報</w:t>
      </w:r>
      <w:r>
        <w:t>に関する見解</w:t>
      </w:r>
    </w:p>
    <w:p w:rsidR="0000597B" w:rsidRDefault="0000597B" w:rsidP="00B8259B">
      <w:pPr>
        <w:ind w:leftChars="202" w:left="424"/>
      </w:pPr>
      <w:r>
        <w:t>B.</w:t>
      </w:r>
      <w:r w:rsidR="005B4D8C">
        <w:t xml:space="preserve"> </w:t>
      </w:r>
      <w:r w:rsidR="00B8259B">
        <w:rPr>
          <w:rFonts w:hint="eastAsia"/>
        </w:rPr>
        <w:t>見解の実行のための</w:t>
      </w:r>
      <w:r>
        <w:t>フォローアップ</w:t>
      </w:r>
      <w:r w:rsidR="00B8259B">
        <w:rPr>
          <w:rFonts w:hint="eastAsia"/>
        </w:rPr>
        <w:t>手続き</w:t>
      </w:r>
    </w:p>
    <w:p w:rsidR="0000597B" w:rsidRDefault="0000597B" w:rsidP="00FF6309">
      <w:pPr>
        <w:ind w:leftChars="202" w:left="424"/>
      </w:pPr>
      <w:r>
        <w:t>C.</w:t>
      </w:r>
      <w:r w:rsidR="005B4D8C">
        <w:t xml:space="preserve"> </w:t>
      </w:r>
      <w:r w:rsidR="00BD6BD1">
        <w:rPr>
          <w:rFonts w:hint="eastAsia"/>
        </w:rPr>
        <w:t>調査の手続き</w:t>
      </w:r>
    </w:p>
    <w:p w:rsidR="0000597B" w:rsidRPr="00FF6309" w:rsidRDefault="0000597B" w:rsidP="0000597B">
      <w:pPr>
        <w:rPr>
          <w:rFonts w:ascii="ＭＳ ゴシック" w:eastAsia="ＭＳ ゴシック" w:hAnsi="ＭＳ ゴシック"/>
        </w:rPr>
      </w:pPr>
      <w:r w:rsidRPr="00FF6309">
        <w:rPr>
          <w:rFonts w:ascii="ＭＳ ゴシック" w:eastAsia="ＭＳ ゴシック" w:hAnsi="ＭＳ ゴシック"/>
        </w:rPr>
        <w:t>IV</w:t>
      </w:r>
      <w:r w:rsidR="00720EAA" w:rsidRPr="00FF6309">
        <w:rPr>
          <w:rFonts w:ascii="ＭＳ ゴシック" w:eastAsia="ＭＳ ゴシック" w:hAnsi="ＭＳ ゴシック"/>
        </w:rPr>
        <w:t>.</w:t>
      </w:r>
      <w:r w:rsidR="005B4D8C">
        <w:rPr>
          <w:rFonts w:ascii="ＭＳ ゴシック" w:eastAsia="ＭＳ ゴシック" w:hAnsi="ＭＳ ゴシック"/>
        </w:rPr>
        <w:t xml:space="preserve"> </w:t>
      </w:r>
      <w:r w:rsidRPr="00FF6309">
        <w:rPr>
          <w:rFonts w:ascii="ＭＳ ゴシック" w:eastAsia="ＭＳ ゴシック" w:hAnsi="ＭＳ ゴシック"/>
        </w:rPr>
        <w:t>委員会の意見、勧告、見解の概要</w:t>
      </w:r>
    </w:p>
    <w:p w:rsidR="0000597B" w:rsidRDefault="0000597B" w:rsidP="00FF6309">
      <w:pPr>
        <w:ind w:leftChars="202" w:left="424"/>
      </w:pPr>
      <w:r>
        <w:t>A.</w:t>
      </w:r>
      <w:r w:rsidR="005B4D8C">
        <w:t xml:space="preserve"> </w:t>
      </w:r>
      <w:r>
        <w:t>障害者の権利</w:t>
      </w:r>
      <w:r w:rsidR="00BD6BD1">
        <w:rPr>
          <w:rFonts w:hint="eastAsia"/>
        </w:rPr>
        <w:t>の</w:t>
      </w:r>
      <w:r>
        <w:t>理解</w:t>
      </w:r>
    </w:p>
    <w:p w:rsidR="0000597B" w:rsidRDefault="00FF6309" w:rsidP="005B4D8C">
      <w:pPr>
        <w:ind w:leftChars="405" w:left="850"/>
      </w:pPr>
      <w:r>
        <w:rPr>
          <w:rFonts w:hint="eastAsia"/>
        </w:rPr>
        <w:lastRenderedPageBreak/>
        <w:t>i</w:t>
      </w:r>
      <w:r w:rsidR="00720EAA">
        <w:rPr>
          <w:rFonts w:hint="eastAsia"/>
        </w:rPr>
        <w:t>.</w:t>
      </w:r>
      <w:r w:rsidR="005B4D8C">
        <w:t xml:space="preserve"> </w:t>
      </w:r>
      <w:r w:rsidR="00BD6BD1">
        <w:rPr>
          <w:rFonts w:hint="eastAsia"/>
        </w:rPr>
        <w:t>新しい</w:t>
      </w:r>
      <w:r w:rsidR="0000597B">
        <w:rPr>
          <w:rFonts w:hint="eastAsia"/>
        </w:rPr>
        <w:t>障害の理解：障害の人権モデル</w:t>
      </w:r>
    </w:p>
    <w:p w:rsidR="0000597B" w:rsidRDefault="0000597B" w:rsidP="005B4D8C">
      <w:pPr>
        <w:ind w:leftChars="405" w:left="850"/>
      </w:pPr>
      <w:r>
        <w:t>ii</w:t>
      </w:r>
      <w:r w:rsidR="00720EAA">
        <w:t>.</w:t>
      </w:r>
      <w:r w:rsidR="005B4D8C">
        <w:t xml:space="preserve"> </w:t>
      </w:r>
      <w:r>
        <w:t>障害</w:t>
      </w:r>
      <w:r w:rsidR="0022415F">
        <w:rPr>
          <w:rFonts w:hint="eastAsia"/>
        </w:rPr>
        <w:t>への</w:t>
      </w:r>
      <w:r>
        <w:t>人権に基づくアプローチの適用</w:t>
      </w:r>
    </w:p>
    <w:p w:rsidR="0000597B" w:rsidRDefault="0000597B" w:rsidP="00FF6309">
      <w:pPr>
        <w:ind w:leftChars="202" w:left="424"/>
      </w:pPr>
      <w:r>
        <w:t>B.</w:t>
      </w:r>
      <w:r w:rsidR="005B4D8C">
        <w:t xml:space="preserve"> </w:t>
      </w:r>
      <w:r>
        <w:t>締約国の主な義務</w:t>
      </w:r>
      <w:r w:rsidR="00BD6BD1">
        <w:rPr>
          <w:rFonts w:hint="eastAsia"/>
        </w:rPr>
        <w:t xml:space="preserve">　</w:t>
      </w:r>
    </w:p>
    <w:p w:rsidR="0000597B" w:rsidRDefault="00FF6309" w:rsidP="005B4D8C">
      <w:pPr>
        <w:ind w:leftChars="405" w:left="850"/>
      </w:pPr>
      <w:r>
        <w:rPr>
          <w:rFonts w:hint="eastAsia"/>
        </w:rPr>
        <w:t xml:space="preserve">i. </w:t>
      </w:r>
      <w:r w:rsidR="0000597B">
        <w:rPr>
          <w:rFonts w:hint="eastAsia"/>
        </w:rPr>
        <w:t>一般的な義務（第</w:t>
      </w:r>
      <w:r w:rsidR="0000597B">
        <w:t>4条）</w:t>
      </w:r>
    </w:p>
    <w:p w:rsidR="0000597B" w:rsidRDefault="0000597B" w:rsidP="005B4D8C">
      <w:pPr>
        <w:ind w:leftChars="405" w:left="850"/>
      </w:pPr>
      <w:r>
        <w:t>ii</w:t>
      </w:r>
      <w:r w:rsidR="00720EAA">
        <w:t>.</w:t>
      </w:r>
      <w:r w:rsidR="005B4D8C">
        <w:t xml:space="preserve"> </w:t>
      </w:r>
      <w:r>
        <w:t>経済的、社会的および文化的権利の漸進的実現（第4条</w:t>
      </w:r>
      <w:r w:rsidR="00BD6BD1">
        <w:rPr>
          <w:rFonts w:hint="eastAsia"/>
        </w:rPr>
        <w:t>２</w:t>
      </w:r>
      <w:r>
        <w:t>）</w:t>
      </w:r>
    </w:p>
    <w:p w:rsidR="0000597B" w:rsidRDefault="0000597B" w:rsidP="005B4D8C">
      <w:pPr>
        <w:ind w:leftChars="405" w:left="850"/>
      </w:pPr>
      <w:r>
        <w:t>iii</w:t>
      </w:r>
      <w:r w:rsidR="00720EAA">
        <w:t>.</w:t>
      </w:r>
      <w:r w:rsidR="005B4D8C">
        <w:t xml:space="preserve"> </w:t>
      </w:r>
      <w:r>
        <w:t>国内実施と監視（第33条）</w:t>
      </w:r>
    </w:p>
    <w:p w:rsidR="0000597B" w:rsidRDefault="0000597B" w:rsidP="005B4D8C">
      <w:pPr>
        <w:ind w:leftChars="405" w:left="850"/>
      </w:pPr>
      <w:r>
        <w:t>iv</w:t>
      </w:r>
      <w:r w:rsidR="00720EAA">
        <w:t>.</w:t>
      </w:r>
      <w:r w:rsidR="005B4D8C">
        <w:t xml:space="preserve"> </w:t>
      </w:r>
      <w:r>
        <w:t>意識</w:t>
      </w:r>
      <w:r w:rsidR="00BD6BD1">
        <w:rPr>
          <w:rFonts w:hint="eastAsia"/>
        </w:rPr>
        <w:t>の</w:t>
      </w:r>
      <w:r>
        <w:t>向上（第8条）</w:t>
      </w:r>
    </w:p>
    <w:p w:rsidR="0000597B" w:rsidRDefault="0000597B" w:rsidP="005B4D8C">
      <w:pPr>
        <w:ind w:leftChars="405" w:left="850"/>
      </w:pPr>
      <w:r>
        <w:t>v</w:t>
      </w:r>
      <w:r w:rsidR="00720EAA">
        <w:t>.</w:t>
      </w:r>
      <w:r w:rsidR="005B4D8C">
        <w:t xml:space="preserve"> </w:t>
      </w:r>
      <w:r>
        <w:t>データ収集（第31条）</w:t>
      </w:r>
    </w:p>
    <w:p w:rsidR="0000597B" w:rsidRDefault="0000597B" w:rsidP="005B4D8C">
      <w:pPr>
        <w:ind w:leftChars="405" w:left="850"/>
      </w:pPr>
      <w:r>
        <w:t>vi</w:t>
      </w:r>
      <w:r w:rsidR="00720EAA">
        <w:t>.</w:t>
      </w:r>
      <w:r w:rsidR="005B4D8C">
        <w:t xml:space="preserve"> </w:t>
      </w:r>
      <w:r>
        <w:t>国際協力（第32条）</w:t>
      </w:r>
    </w:p>
    <w:p w:rsidR="0000597B" w:rsidRDefault="0000597B" w:rsidP="00FF6309">
      <w:pPr>
        <w:ind w:leftChars="202" w:left="424"/>
      </w:pPr>
      <w:r>
        <w:t>C.</w:t>
      </w:r>
      <w:r w:rsidR="005B4D8C">
        <w:t xml:space="preserve"> </w:t>
      </w:r>
      <w:r>
        <w:t>障害者とその代表組織の役割</w:t>
      </w:r>
    </w:p>
    <w:p w:rsidR="0000597B" w:rsidRDefault="00FF6309" w:rsidP="005B4D8C">
      <w:pPr>
        <w:ind w:leftChars="405" w:left="850"/>
      </w:pPr>
      <w:r>
        <w:rPr>
          <w:rFonts w:hint="eastAsia"/>
        </w:rPr>
        <w:t xml:space="preserve">i. </w:t>
      </w:r>
      <w:r w:rsidR="0000597B">
        <w:rPr>
          <w:rFonts w:hint="eastAsia"/>
        </w:rPr>
        <w:t>国</w:t>
      </w:r>
      <w:r w:rsidR="00BD6BD1">
        <w:rPr>
          <w:rFonts w:hint="eastAsia"/>
        </w:rPr>
        <w:t>の</w:t>
      </w:r>
      <w:r w:rsidR="0000597B">
        <w:rPr>
          <w:rFonts w:hint="eastAsia"/>
        </w:rPr>
        <w:t>レベルでの条約の実施と監視への障害者の参加（第</w:t>
      </w:r>
      <w:r w:rsidR="0000597B">
        <w:t>4条</w:t>
      </w:r>
      <w:r w:rsidR="00BD6BD1">
        <w:t>3</w:t>
      </w:r>
      <w:r w:rsidR="0000597B">
        <w:t>および33条</w:t>
      </w:r>
      <w:r w:rsidR="00BD6BD1">
        <w:t>3</w:t>
      </w:r>
      <w:r w:rsidR="0000597B">
        <w:t>）</w:t>
      </w:r>
    </w:p>
    <w:p w:rsidR="0000597B" w:rsidRDefault="0000597B" w:rsidP="005B4D8C">
      <w:pPr>
        <w:ind w:leftChars="405" w:left="850"/>
      </w:pPr>
      <w:r>
        <w:t>ii</w:t>
      </w:r>
      <w:r w:rsidR="00720EAA">
        <w:t>.</w:t>
      </w:r>
      <w:r w:rsidR="005B4D8C">
        <w:t xml:space="preserve"> </w:t>
      </w:r>
      <w:r>
        <w:t>委員会の</w:t>
      </w:r>
      <w:r w:rsidR="00BD6BD1">
        <w:rPr>
          <w:rFonts w:hint="eastAsia"/>
        </w:rPr>
        <w:t>活動</w:t>
      </w:r>
      <w:r>
        <w:t>への障害者の参加</w:t>
      </w:r>
    </w:p>
    <w:p w:rsidR="0000597B" w:rsidRDefault="0000597B" w:rsidP="00FF6309">
      <w:pPr>
        <w:ind w:leftChars="202" w:left="424"/>
      </w:pPr>
      <w:r>
        <w:t>D.</w:t>
      </w:r>
      <w:r w:rsidR="005B4D8C">
        <w:t xml:space="preserve"> </w:t>
      </w:r>
      <w:r>
        <w:t>主な横断的問題</w:t>
      </w:r>
    </w:p>
    <w:p w:rsidR="0000597B" w:rsidRDefault="00FF6309" w:rsidP="005B4D8C">
      <w:pPr>
        <w:ind w:leftChars="405" w:left="850"/>
      </w:pPr>
      <w:r>
        <w:rPr>
          <w:rFonts w:hint="eastAsia"/>
        </w:rPr>
        <w:t>i</w:t>
      </w:r>
      <w:r w:rsidR="00720EAA">
        <w:rPr>
          <w:rFonts w:hint="eastAsia"/>
        </w:rPr>
        <w:t>.</w:t>
      </w:r>
      <w:r w:rsidR="005B4D8C">
        <w:t xml:space="preserve"> </w:t>
      </w:r>
      <w:r w:rsidR="0000597B">
        <w:rPr>
          <w:rFonts w:hint="eastAsia"/>
        </w:rPr>
        <w:t>平等、</w:t>
      </w:r>
      <w:r w:rsidR="00650930">
        <w:rPr>
          <w:rFonts w:hint="eastAsia"/>
        </w:rPr>
        <w:t>無差別</w:t>
      </w:r>
      <w:r w:rsidR="00BD6BD1">
        <w:rPr>
          <w:rFonts w:hint="eastAsia"/>
        </w:rPr>
        <w:t>および</w:t>
      </w:r>
      <w:r w:rsidR="0000597B">
        <w:rPr>
          <w:rFonts w:hint="eastAsia"/>
        </w:rPr>
        <w:t>合理的</w:t>
      </w:r>
      <w:r w:rsidR="00BD6BD1">
        <w:rPr>
          <w:rFonts w:hint="eastAsia"/>
        </w:rPr>
        <w:t>配慮</w:t>
      </w:r>
      <w:r w:rsidR="0000597B">
        <w:rPr>
          <w:rFonts w:hint="eastAsia"/>
        </w:rPr>
        <w:t>（第</w:t>
      </w:r>
      <w:r w:rsidR="0000597B">
        <w:t>5条）</w:t>
      </w:r>
    </w:p>
    <w:p w:rsidR="0000597B" w:rsidRDefault="0000597B" w:rsidP="005B4D8C">
      <w:pPr>
        <w:ind w:leftChars="405" w:left="850"/>
      </w:pPr>
      <w:r>
        <w:t>ii</w:t>
      </w:r>
      <w:r w:rsidR="00720EAA">
        <w:t>.</w:t>
      </w:r>
      <w:r w:rsidR="005B4D8C">
        <w:t xml:space="preserve"> </w:t>
      </w:r>
      <w:r>
        <w:t>アクセシビリティ（第9条）</w:t>
      </w:r>
    </w:p>
    <w:p w:rsidR="0000597B" w:rsidRDefault="0000597B" w:rsidP="005B4D8C">
      <w:pPr>
        <w:ind w:leftChars="405" w:left="850"/>
      </w:pPr>
      <w:r>
        <w:t>iii</w:t>
      </w:r>
      <w:r w:rsidR="00720EAA">
        <w:t>.</w:t>
      </w:r>
      <w:r w:rsidR="005B4D8C">
        <w:t xml:space="preserve"> </w:t>
      </w:r>
      <w:r>
        <w:t>障害者の多様性</w:t>
      </w:r>
    </w:p>
    <w:p w:rsidR="0000597B" w:rsidRDefault="0000597B" w:rsidP="005B4D8C">
      <w:pPr>
        <w:ind w:leftChars="405" w:left="850"/>
      </w:pPr>
      <w:r>
        <w:t>iv</w:t>
      </w:r>
      <w:r w:rsidR="00720EAA">
        <w:t>.</w:t>
      </w:r>
      <w:r w:rsidR="005B4D8C">
        <w:t xml:space="preserve"> </w:t>
      </w:r>
      <w:r w:rsidR="00BD6BD1">
        <w:rPr>
          <w:rFonts w:hint="eastAsia"/>
        </w:rPr>
        <w:t>ジェンダー</w:t>
      </w:r>
    </w:p>
    <w:p w:rsidR="0000597B" w:rsidRDefault="0000597B" w:rsidP="00FF6309">
      <w:pPr>
        <w:ind w:leftChars="202" w:left="424"/>
      </w:pPr>
      <w:r>
        <w:t>E.</w:t>
      </w:r>
      <w:r w:rsidR="005B4D8C">
        <w:t xml:space="preserve"> </w:t>
      </w:r>
      <w:r>
        <w:t>委員会が扱</w:t>
      </w:r>
      <w:r w:rsidR="00BD6BD1">
        <w:rPr>
          <w:rFonts w:hint="eastAsia"/>
        </w:rPr>
        <w:t>った事項</w:t>
      </w:r>
    </w:p>
    <w:p w:rsidR="0000597B" w:rsidRDefault="00FF6309" w:rsidP="005B4D8C">
      <w:pPr>
        <w:ind w:leftChars="405" w:left="850"/>
      </w:pPr>
      <w:r>
        <w:rPr>
          <w:rFonts w:hint="eastAsia"/>
        </w:rPr>
        <w:t>i</w:t>
      </w:r>
      <w:r w:rsidR="00720EAA">
        <w:rPr>
          <w:rFonts w:hint="eastAsia"/>
        </w:rPr>
        <w:t>.</w:t>
      </w:r>
      <w:r w:rsidR="005B4D8C">
        <w:t xml:space="preserve"> </w:t>
      </w:r>
      <w:r w:rsidR="00BD6BD1">
        <w:rPr>
          <w:rFonts w:hint="eastAsia"/>
        </w:rPr>
        <w:t>相当な</w:t>
      </w:r>
      <w:r w:rsidR="0000597B">
        <w:rPr>
          <w:rFonts w:hint="eastAsia"/>
        </w:rPr>
        <w:t>生活水準と社会的</w:t>
      </w:r>
      <w:r w:rsidR="007B2EBF">
        <w:rPr>
          <w:rFonts w:hint="eastAsia"/>
        </w:rPr>
        <w:t>保障</w:t>
      </w:r>
      <w:r w:rsidR="0000597B">
        <w:rPr>
          <w:rFonts w:hint="eastAsia"/>
        </w:rPr>
        <w:t>（第</w:t>
      </w:r>
      <w:r w:rsidR="0000597B">
        <w:t>28条）</w:t>
      </w:r>
    </w:p>
    <w:p w:rsidR="0000597B" w:rsidRDefault="0000597B" w:rsidP="005B4D8C">
      <w:pPr>
        <w:ind w:leftChars="405" w:left="850"/>
      </w:pPr>
      <w:r>
        <w:t>ii</w:t>
      </w:r>
      <w:r w:rsidR="00720EAA">
        <w:t>.</w:t>
      </w:r>
      <w:r w:rsidR="005B4D8C">
        <w:t xml:space="preserve"> </w:t>
      </w:r>
      <w:r w:rsidR="007B2EBF">
        <w:rPr>
          <w:rFonts w:hint="eastAsia"/>
        </w:rPr>
        <w:t>司法と</w:t>
      </w:r>
      <w:r>
        <w:t>手続き上の</w:t>
      </w:r>
      <w:r w:rsidR="007B2EBF">
        <w:rPr>
          <w:rFonts w:hint="eastAsia"/>
        </w:rPr>
        <w:t>配慮</w:t>
      </w:r>
      <w:r w:rsidR="0022415F">
        <w:rPr>
          <w:rFonts w:hint="eastAsia"/>
        </w:rPr>
        <w:t>へのアクセス</w:t>
      </w:r>
      <w:r>
        <w:t>（第13条）</w:t>
      </w:r>
    </w:p>
    <w:p w:rsidR="0000597B" w:rsidRDefault="0000597B" w:rsidP="005B4D8C">
      <w:pPr>
        <w:ind w:leftChars="405" w:left="850"/>
      </w:pPr>
      <w:r>
        <w:t>iii</w:t>
      </w:r>
      <w:r w:rsidR="00720EAA">
        <w:t>.</w:t>
      </w:r>
      <w:r w:rsidR="005B4D8C">
        <w:t xml:space="preserve"> </w:t>
      </w:r>
      <w:r w:rsidR="00274DCA">
        <w:rPr>
          <w:rFonts w:hint="eastAsia"/>
        </w:rPr>
        <w:t>身体の</w:t>
      </w:r>
      <w:r>
        <w:t>自由と安全</w:t>
      </w:r>
      <w:r w:rsidR="007B2EBF">
        <w:rPr>
          <w:rFonts w:hint="eastAsia"/>
        </w:rPr>
        <w:t>の</w:t>
      </w:r>
      <w:r>
        <w:t>権利（第14条）および自立生活</w:t>
      </w:r>
      <w:r w:rsidR="00274DCA">
        <w:rPr>
          <w:rFonts w:hint="eastAsia"/>
        </w:rPr>
        <w:t>と地域社会へのインクルージョンの</w:t>
      </w:r>
      <w:r w:rsidR="007B2EBF">
        <w:rPr>
          <w:rFonts w:hint="eastAsia"/>
        </w:rPr>
        <w:t>権利</w:t>
      </w:r>
      <w:r>
        <w:t>（第19条）：脱施設への道</w:t>
      </w:r>
    </w:p>
    <w:p w:rsidR="0000597B" w:rsidRDefault="0000597B" w:rsidP="005B4D8C">
      <w:pPr>
        <w:ind w:leftChars="405" w:left="850"/>
      </w:pPr>
      <w:r>
        <w:t>iv</w:t>
      </w:r>
      <w:r w:rsidR="00720EAA">
        <w:t>.</w:t>
      </w:r>
      <w:r w:rsidR="005B4D8C">
        <w:t xml:space="preserve"> </w:t>
      </w:r>
      <w:r>
        <w:t>法律</w:t>
      </w:r>
      <w:r w:rsidR="007B2EBF">
        <w:rPr>
          <w:rFonts w:hint="eastAsia"/>
        </w:rPr>
        <w:t>の</w:t>
      </w:r>
      <w:r>
        <w:t>前</w:t>
      </w:r>
      <w:r w:rsidR="007B2EBF">
        <w:rPr>
          <w:rFonts w:hint="eastAsia"/>
        </w:rPr>
        <w:t>で</w:t>
      </w:r>
      <w:r>
        <w:t>の平等な認識と</w:t>
      </w:r>
      <w:r w:rsidR="007B2EBF">
        <w:rPr>
          <w:rFonts w:hint="eastAsia"/>
        </w:rPr>
        <w:t>支援による</w:t>
      </w:r>
      <w:r>
        <w:t>意思決定（第12条）</w:t>
      </w:r>
    </w:p>
    <w:p w:rsidR="0000597B" w:rsidRDefault="0000597B" w:rsidP="005B4D8C">
      <w:pPr>
        <w:ind w:leftChars="405" w:left="850"/>
      </w:pPr>
      <w:r>
        <w:t>v</w:t>
      </w:r>
      <w:r w:rsidR="00720EAA">
        <w:t>.</w:t>
      </w:r>
      <w:r w:rsidR="005B4D8C">
        <w:t xml:space="preserve"> </w:t>
      </w:r>
      <w:r>
        <w:t>すべての環境における生命に対する権利および虐待、暴力、有害な</w:t>
      </w:r>
      <w:r w:rsidR="007B2EBF">
        <w:rPr>
          <w:rFonts w:hint="eastAsia"/>
        </w:rPr>
        <w:t>行為</w:t>
      </w:r>
      <w:r>
        <w:t>からの自由（第10条、16条、17条）</w:t>
      </w:r>
    </w:p>
    <w:p w:rsidR="0000597B" w:rsidRDefault="0000597B" w:rsidP="005B4D8C">
      <w:pPr>
        <w:ind w:leftChars="405" w:left="850"/>
      </w:pPr>
      <w:r>
        <w:t>vi</w:t>
      </w:r>
      <w:r w:rsidR="00720EAA">
        <w:t>.</w:t>
      </w:r>
      <w:r w:rsidR="005B4D8C">
        <w:t xml:space="preserve"> </w:t>
      </w:r>
      <w:r>
        <w:t>健康（第25条）、ハビリテーションおよびリハビリテーション（第26条）および強制</w:t>
      </w:r>
      <w:r w:rsidR="007B2EBF">
        <w:rPr>
          <w:rFonts w:hint="eastAsia"/>
        </w:rPr>
        <w:t>入所</w:t>
      </w:r>
      <w:r w:rsidR="0022415F">
        <w:rPr>
          <w:rFonts w:hint="eastAsia"/>
        </w:rPr>
        <w:t>と</w:t>
      </w:r>
      <w:r w:rsidR="007B2EBF">
        <w:rPr>
          <w:rFonts w:hint="eastAsia"/>
        </w:rPr>
        <w:t>強制</w:t>
      </w:r>
      <w:r>
        <w:t>治療の禁止（第12、14、15、16および17条）</w:t>
      </w:r>
    </w:p>
    <w:p w:rsidR="0000597B" w:rsidRDefault="0000597B" w:rsidP="005B4D8C">
      <w:pPr>
        <w:ind w:leftChars="405" w:left="850"/>
      </w:pPr>
      <w:r>
        <w:t>vii</w:t>
      </w:r>
      <w:r w:rsidR="00720EAA">
        <w:t>.</w:t>
      </w:r>
      <w:r w:rsidR="005B4D8C">
        <w:t xml:space="preserve"> </w:t>
      </w:r>
      <w:r>
        <w:t>インクルーシブ教育（第24条）</w:t>
      </w:r>
    </w:p>
    <w:p w:rsidR="0000597B" w:rsidRDefault="0000597B" w:rsidP="005B4D8C">
      <w:pPr>
        <w:ind w:leftChars="405" w:left="850"/>
      </w:pPr>
      <w:r>
        <w:t>viii</w:t>
      </w:r>
      <w:r w:rsidR="00720EAA">
        <w:t>.</w:t>
      </w:r>
      <w:r w:rsidR="005B4D8C">
        <w:t xml:space="preserve"> </w:t>
      </w:r>
      <w:r w:rsidR="007B2EBF">
        <w:rPr>
          <w:rFonts w:hint="eastAsia"/>
        </w:rPr>
        <w:t>危険な状況</w:t>
      </w:r>
      <w:r>
        <w:t>と緊急事態（第11条）</w:t>
      </w:r>
    </w:p>
    <w:p w:rsidR="0000597B" w:rsidRDefault="0000597B" w:rsidP="005B4D8C">
      <w:pPr>
        <w:ind w:leftChars="405" w:left="850"/>
      </w:pPr>
      <w:r>
        <w:t>ix</w:t>
      </w:r>
      <w:r w:rsidR="00720EAA">
        <w:t>.</w:t>
      </w:r>
      <w:r w:rsidR="005B4D8C">
        <w:t xml:space="preserve"> </w:t>
      </w:r>
      <w:r w:rsidR="007B2EBF">
        <w:rPr>
          <w:rFonts w:hint="eastAsia"/>
        </w:rPr>
        <w:t>労働</w:t>
      </w:r>
      <w:r>
        <w:t>と雇用（第27条）</w:t>
      </w:r>
    </w:p>
    <w:p w:rsidR="0000597B" w:rsidRDefault="0000597B" w:rsidP="00FF6309">
      <w:pPr>
        <w:ind w:leftChars="202" w:left="424"/>
      </w:pPr>
      <w:r>
        <w:t>F.</w:t>
      </w:r>
      <w:r w:rsidR="005B4D8C">
        <w:t xml:space="preserve"> </w:t>
      </w:r>
      <w:r>
        <w:t>誰</w:t>
      </w:r>
      <w:r w:rsidR="007B2EBF">
        <w:rPr>
          <w:rFonts w:hint="eastAsia"/>
        </w:rPr>
        <w:t>一人取り残さない</w:t>
      </w:r>
      <w:r>
        <w:t>：国際開発</w:t>
      </w:r>
      <w:r w:rsidR="005A689E">
        <w:rPr>
          <w:rFonts w:hint="eastAsia"/>
        </w:rPr>
        <w:t>戦略</w:t>
      </w:r>
      <w:r>
        <w:t>における障害者の権利</w:t>
      </w:r>
    </w:p>
    <w:p w:rsidR="0000597B" w:rsidRDefault="0000597B" w:rsidP="0000597B"/>
    <w:p w:rsidR="0000597B" w:rsidRPr="00FF6309" w:rsidRDefault="0000597B" w:rsidP="0000597B">
      <w:pPr>
        <w:rPr>
          <w:rFonts w:ascii="ＭＳ ゴシック" w:eastAsia="ＭＳ ゴシック" w:hAnsi="ＭＳ ゴシック"/>
          <w:b/>
          <w:bCs/>
        </w:rPr>
      </w:pPr>
      <w:r w:rsidRPr="00F177C4">
        <w:rPr>
          <w:rFonts w:ascii="ＭＳ ゴシック" w:eastAsia="ＭＳ ゴシック" w:hAnsi="ＭＳ ゴシック"/>
          <w:b/>
          <w:bCs/>
        </w:rPr>
        <w:t>I.</w:t>
      </w:r>
      <w:r w:rsidR="005B4D8C" w:rsidRPr="00F177C4">
        <w:rPr>
          <w:rFonts w:ascii="ＭＳ ゴシック" w:eastAsia="ＭＳ ゴシック" w:hAnsi="ＭＳ ゴシック"/>
          <w:b/>
          <w:bCs/>
        </w:rPr>
        <w:t xml:space="preserve"> </w:t>
      </w:r>
      <w:r w:rsidRPr="00F177C4">
        <w:rPr>
          <w:rFonts w:ascii="ＭＳ ゴシック" w:eastAsia="ＭＳ ゴシック" w:hAnsi="ＭＳ ゴシック"/>
          <w:b/>
          <w:bCs/>
        </w:rPr>
        <w:t>はじめに</w:t>
      </w:r>
    </w:p>
    <w:p w:rsidR="00F87D84" w:rsidRDefault="00F87D84" w:rsidP="0000597B"/>
    <w:p w:rsidR="0000597B" w:rsidRDefault="0000597B" w:rsidP="0000597B">
      <w:r>
        <w:t>1. 2018年10月は、障害者の権利に関する委員会（「CRPD委員会」）の10周年</w:t>
      </w:r>
      <w:r w:rsidR="00B84D45">
        <w:rPr>
          <w:rFonts w:hint="eastAsia"/>
        </w:rPr>
        <w:t>にあたる</w:t>
      </w:r>
      <w:r>
        <w:t>。この委員会は、</w:t>
      </w:r>
      <w:r w:rsidR="00B84D45">
        <w:t>障害者権利条約（「CRPD」）</w:t>
      </w:r>
      <w:r w:rsidR="00B84D45">
        <w:rPr>
          <w:rFonts w:hint="eastAsia"/>
        </w:rPr>
        <w:t>と</w:t>
      </w:r>
      <w:r w:rsidR="00B84D45">
        <w:t>その選択議定書の実施を監視するため</w:t>
      </w:r>
      <w:r w:rsidR="00AC6D53">
        <w:rPr>
          <w:rFonts w:hint="eastAsia"/>
        </w:rPr>
        <w:t>の</w:t>
      </w:r>
      <w:r w:rsidR="00B84D45">
        <w:t>、障害者</w:t>
      </w:r>
      <w:r w:rsidR="00B84D45">
        <w:lastRenderedPageBreak/>
        <w:t>の</w:t>
      </w:r>
      <w:r w:rsidR="00B84D45">
        <w:rPr>
          <w:rFonts w:hint="eastAsia"/>
        </w:rPr>
        <w:t>権利に関する18人の</w:t>
      </w:r>
      <w:r w:rsidR="00AC6D53">
        <w:rPr>
          <w:rFonts w:hint="eastAsia"/>
        </w:rPr>
        <w:t>選ばれた</w:t>
      </w:r>
      <w:r w:rsidR="00B84D45">
        <w:rPr>
          <w:rFonts w:hint="eastAsia"/>
        </w:rPr>
        <w:t>独立した専門家で構成されている。この条約と議定書は、</w:t>
      </w:r>
      <w:r>
        <w:t>2006年12月13日</w:t>
      </w:r>
      <w:r w:rsidR="00B84D45">
        <w:rPr>
          <w:rFonts w:hint="eastAsia"/>
        </w:rPr>
        <w:t>に採択され、</w:t>
      </w:r>
      <w:r w:rsidR="00B84D45">
        <w:t>2008年5月3日</w:t>
      </w:r>
      <w:r>
        <w:t>に</w:t>
      </w:r>
      <w:r w:rsidR="0022415F">
        <w:rPr>
          <w:rFonts w:hint="eastAsia"/>
        </w:rPr>
        <w:t>発効し</w:t>
      </w:r>
      <w:r>
        <w:t>た。</w:t>
      </w:r>
    </w:p>
    <w:p w:rsidR="00F87D84" w:rsidRDefault="00F87D84" w:rsidP="0000597B"/>
    <w:p w:rsidR="0000597B" w:rsidRDefault="0000597B" w:rsidP="0000597B">
      <w:r>
        <w:t>2. CRPDは、2018年5月の時点で161の署名</w:t>
      </w:r>
      <w:r w:rsidR="00B84D45">
        <w:rPr>
          <w:rFonts w:hint="eastAsia"/>
        </w:rPr>
        <w:t>国</w:t>
      </w:r>
      <w:r>
        <w:t>と177の批准</w:t>
      </w:r>
      <w:r w:rsidR="00B84D45">
        <w:rPr>
          <w:rFonts w:hint="eastAsia"/>
        </w:rPr>
        <w:t>・</w:t>
      </w:r>
      <w:r>
        <w:t>加盟</w:t>
      </w:r>
      <w:r w:rsidR="00B84D45">
        <w:rPr>
          <w:rFonts w:hint="eastAsia"/>
        </w:rPr>
        <w:t>国</w:t>
      </w:r>
      <w:r>
        <w:t>を</w:t>
      </w:r>
      <w:r w:rsidR="00B84D45">
        <w:rPr>
          <w:rFonts w:hint="eastAsia"/>
        </w:rPr>
        <w:t>もち</w:t>
      </w:r>
      <w:r>
        <w:t>、最も迅速に批准された国際人権条約</w:t>
      </w:r>
      <w:r w:rsidR="003F6448">
        <w:t>である</w:t>
      </w:r>
      <w:r>
        <w:t>。委員会は、ジュネーブで年に2回の定例</w:t>
      </w:r>
      <w:r w:rsidR="00FE140F">
        <w:rPr>
          <w:rFonts w:hint="eastAsia"/>
        </w:rPr>
        <w:t>会期</w:t>
      </w:r>
      <w:r>
        <w:t>を開催し</w:t>
      </w:r>
      <w:r w:rsidR="00FE140F">
        <w:rPr>
          <w:rFonts w:hint="eastAsia"/>
        </w:rPr>
        <w:t>て</w:t>
      </w:r>
      <w:r>
        <w:t>締約国の定期報告書を検討および</w:t>
      </w:r>
      <w:r w:rsidR="00FE140F">
        <w:rPr>
          <w:rFonts w:hint="eastAsia"/>
        </w:rPr>
        <w:t>評価</w:t>
      </w:r>
      <w:r>
        <w:t>し、ガイドラインと</w:t>
      </w:r>
      <w:r w:rsidR="00B61E9E">
        <w:t>一般的意見</w:t>
      </w:r>
      <w:r>
        <w:t>を作成し、条約の条項の違反に関連する</w:t>
      </w:r>
      <w:r w:rsidR="00FE140F">
        <w:rPr>
          <w:rFonts w:hint="eastAsia"/>
        </w:rPr>
        <w:t>個人通報（</w:t>
      </w:r>
      <w:r w:rsidR="00FE140F" w:rsidRPr="00FE140F">
        <w:t>individual communication</w:t>
      </w:r>
      <w:r w:rsidR="00FE140F">
        <w:rPr>
          <w:rFonts w:hint="eastAsia"/>
        </w:rPr>
        <w:t>）</w:t>
      </w:r>
      <w:r>
        <w:t>と</w:t>
      </w:r>
      <w:r w:rsidR="00FE140F">
        <w:rPr>
          <w:rFonts w:hint="eastAsia"/>
        </w:rPr>
        <w:t>調査（</w:t>
      </w:r>
      <w:r w:rsidR="00FE140F" w:rsidRPr="00FE140F">
        <w:t>inquir</w:t>
      </w:r>
      <w:r w:rsidR="00FE140F">
        <w:rPr>
          <w:rFonts w:hint="eastAsia"/>
        </w:rPr>
        <w:t>y）</w:t>
      </w:r>
      <w:r>
        <w:t>を検討</w:t>
      </w:r>
      <w:r w:rsidR="003F6448">
        <w:t>する</w:t>
      </w:r>
      <w:r>
        <w:t>。2009年2月から2018年3月までに19の</w:t>
      </w:r>
      <w:r w:rsidR="00FE140F">
        <w:rPr>
          <w:rFonts w:hint="eastAsia"/>
        </w:rPr>
        <w:t>会期</w:t>
      </w:r>
      <w:r>
        <w:t>を開催し、68の締約国によるCRPDの</w:t>
      </w:r>
      <w:r w:rsidR="00FE140F">
        <w:rPr>
          <w:rFonts w:hint="eastAsia"/>
        </w:rPr>
        <w:t>実施</w:t>
      </w:r>
      <w:r>
        <w:t>を</w:t>
      </w:r>
      <w:r w:rsidR="00FE140F">
        <w:rPr>
          <w:rFonts w:hint="eastAsia"/>
        </w:rPr>
        <w:t>評価</w:t>
      </w:r>
      <w:r w:rsidR="003F6448">
        <w:t>した</w:t>
      </w:r>
      <w:r>
        <w:t>。年に1回ニューヨークで条約の締約国会議が開催され、条</w:t>
      </w:r>
      <w:r>
        <w:rPr>
          <w:rFonts w:hint="eastAsia"/>
        </w:rPr>
        <w:t>約を批准した国々が会合</w:t>
      </w:r>
      <w:r w:rsidR="00FE140F">
        <w:rPr>
          <w:rFonts w:hint="eastAsia"/>
        </w:rPr>
        <w:t>して</w:t>
      </w:r>
      <w:r>
        <w:rPr>
          <w:rFonts w:hint="eastAsia"/>
        </w:rPr>
        <w:t>条約の実施に関連する事項を検討してい</w:t>
      </w:r>
      <w:r w:rsidR="003F6448">
        <w:rPr>
          <w:rFonts w:hint="eastAsia"/>
        </w:rPr>
        <w:t>る</w:t>
      </w:r>
      <w:r>
        <w:rPr>
          <w:rFonts w:hint="eastAsia"/>
        </w:rPr>
        <w:t>。これは、最も</w:t>
      </w:r>
      <w:r w:rsidR="00FE140F">
        <w:rPr>
          <w:rFonts w:hint="eastAsia"/>
        </w:rPr>
        <w:t>はつらつとした活動的な</w:t>
      </w:r>
      <w:r>
        <w:rPr>
          <w:rFonts w:hint="eastAsia"/>
        </w:rPr>
        <w:t>締約国会議で、毎年</w:t>
      </w:r>
      <w:r>
        <w:t>800人以上の参加者があり、CRPD</w:t>
      </w:r>
      <w:r w:rsidR="00FE140F">
        <w:rPr>
          <w:rFonts w:hint="eastAsia"/>
        </w:rPr>
        <w:t>が定める</w:t>
      </w:r>
      <w:r>
        <w:t>権利に関する多くの実質的な問題を取り上げてい</w:t>
      </w:r>
      <w:r w:rsidR="003F6448">
        <w:t>る</w:t>
      </w:r>
      <w:r>
        <w:t>。2017年まで、CRPD委員会の</w:t>
      </w:r>
      <w:r w:rsidR="00FE140F">
        <w:rPr>
          <w:rFonts w:hint="eastAsia"/>
        </w:rPr>
        <w:t>委員長</w:t>
      </w:r>
      <w:r>
        <w:t>は締約国会議に参加</w:t>
      </w:r>
      <w:r w:rsidR="003F6448">
        <w:t>した</w:t>
      </w:r>
      <w:r>
        <w:t>。</w:t>
      </w:r>
    </w:p>
    <w:p w:rsidR="0000597B" w:rsidRDefault="0000597B" w:rsidP="0000597B"/>
    <w:p w:rsidR="0000597B" w:rsidRDefault="0000597B" w:rsidP="0000597B">
      <w:r>
        <w:t>3.</w:t>
      </w:r>
      <w:r w:rsidR="005B4D8C">
        <w:t xml:space="preserve"> </w:t>
      </w:r>
      <w:r>
        <w:t>委員会の</w:t>
      </w:r>
      <w:r w:rsidR="00FE140F">
        <w:rPr>
          <w:rFonts w:hint="eastAsia"/>
        </w:rPr>
        <w:t>活動</w:t>
      </w:r>
      <w:r>
        <w:t>は、このように</w:t>
      </w:r>
      <w:r w:rsidR="00FE140F">
        <w:rPr>
          <w:rFonts w:hint="eastAsia"/>
        </w:rPr>
        <w:t>濃密</w:t>
      </w:r>
      <w:r>
        <w:t>で多様</w:t>
      </w:r>
      <w:r w:rsidR="003F6448">
        <w:t>である</w:t>
      </w:r>
      <w:r>
        <w:t>。このレポートは、委員会の過去10年の</w:t>
      </w:r>
      <w:r w:rsidR="00FE140F">
        <w:rPr>
          <w:rFonts w:hint="eastAsia"/>
        </w:rPr>
        <w:t>活動</w:t>
      </w:r>
      <w:r>
        <w:t>と、CRPDの</w:t>
      </w:r>
      <w:r w:rsidR="0022415F">
        <w:rPr>
          <w:rFonts w:hint="eastAsia"/>
        </w:rPr>
        <w:t>条項</w:t>
      </w:r>
      <w:r>
        <w:t>を</w:t>
      </w:r>
      <w:r w:rsidR="00FE140F">
        <w:rPr>
          <w:rFonts w:hint="eastAsia"/>
        </w:rPr>
        <w:t>どう</w:t>
      </w:r>
      <w:r>
        <w:t>理解す</w:t>
      </w:r>
      <w:r w:rsidR="00FE140F">
        <w:rPr>
          <w:rFonts w:hint="eastAsia"/>
        </w:rPr>
        <w:t>べき</w:t>
      </w:r>
      <w:r>
        <w:t>か</w:t>
      </w:r>
      <w:r w:rsidR="0022415F">
        <w:rPr>
          <w:rFonts w:hint="eastAsia"/>
        </w:rPr>
        <w:t>に関する</w:t>
      </w:r>
      <w:r w:rsidR="0022415F">
        <w:t>概要</w:t>
      </w:r>
      <w:r>
        <w:t>を示</w:t>
      </w:r>
      <w:r w:rsidR="00FE140F">
        <w:rPr>
          <w:rFonts w:hint="eastAsia"/>
        </w:rPr>
        <w:t>す</w:t>
      </w:r>
      <w:r>
        <w:t>。</w:t>
      </w:r>
    </w:p>
    <w:p w:rsidR="00F87D84" w:rsidRDefault="00F87D84" w:rsidP="0000597B">
      <w:pPr>
        <w:rPr>
          <w:b/>
          <w:bCs/>
        </w:rPr>
      </w:pPr>
    </w:p>
    <w:p w:rsidR="0000597B" w:rsidRPr="00FF6309" w:rsidRDefault="0000597B" w:rsidP="0000597B">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条約</w:t>
      </w:r>
      <w:r w:rsidR="00F177C4">
        <w:rPr>
          <w:rFonts w:ascii="ＭＳ ゴシック" w:eastAsia="ＭＳ ゴシック" w:hAnsi="ＭＳ ゴシック" w:hint="eastAsia"/>
          <w:b/>
          <w:bCs/>
        </w:rPr>
        <w:t>に従って</w:t>
      </w:r>
      <w:r w:rsidRPr="00FF6309">
        <w:rPr>
          <w:rFonts w:ascii="ＭＳ ゴシック" w:eastAsia="ＭＳ ゴシック" w:hAnsi="ＭＳ ゴシック"/>
          <w:b/>
          <w:bCs/>
        </w:rPr>
        <w:t>CRPD委員会が</w:t>
      </w:r>
      <w:r w:rsidR="0022415F">
        <w:rPr>
          <w:rFonts w:ascii="ＭＳ ゴシック" w:eastAsia="ＭＳ ゴシック" w:hAnsi="ＭＳ ゴシック" w:hint="eastAsia"/>
          <w:b/>
          <w:bCs/>
        </w:rPr>
        <w:t>実施し</w:t>
      </w:r>
      <w:r w:rsidR="00FE140F">
        <w:rPr>
          <w:rFonts w:ascii="ＭＳ ゴシック" w:eastAsia="ＭＳ ゴシック" w:hAnsi="ＭＳ ゴシック" w:hint="eastAsia"/>
          <w:b/>
          <w:bCs/>
        </w:rPr>
        <w:t>た</w:t>
      </w:r>
      <w:r w:rsidRPr="00FF6309">
        <w:rPr>
          <w:rFonts w:ascii="ＭＳ ゴシック" w:eastAsia="ＭＳ ゴシック" w:hAnsi="ＭＳ ゴシック"/>
          <w:b/>
          <w:bCs/>
        </w:rPr>
        <w:t>活動</w:t>
      </w:r>
    </w:p>
    <w:p w:rsidR="00F87D84" w:rsidRPr="00FF6309" w:rsidRDefault="00F87D84" w:rsidP="0000597B">
      <w:pPr>
        <w:rPr>
          <w:rFonts w:ascii="ＭＳ ゴシック" w:eastAsia="ＭＳ ゴシック" w:hAnsi="ＭＳ ゴシック"/>
          <w:b/>
          <w:bCs/>
        </w:rPr>
      </w:pPr>
    </w:p>
    <w:p w:rsidR="0000597B" w:rsidRPr="005B4D8C" w:rsidRDefault="00B61E9E" w:rsidP="005B4D8C">
      <w:pPr>
        <w:pStyle w:val="a7"/>
        <w:numPr>
          <w:ilvl w:val="0"/>
          <w:numId w:val="1"/>
        </w:numPr>
        <w:ind w:leftChars="0"/>
        <w:rPr>
          <w:rFonts w:ascii="ＭＳ ゴシック" w:eastAsia="ＭＳ ゴシック" w:hAnsi="ＭＳ ゴシック"/>
          <w:b/>
          <w:bCs/>
        </w:rPr>
      </w:pPr>
      <w:r>
        <w:rPr>
          <w:rFonts w:ascii="ＭＳ ゴシック" w:eastAsia="ＭＳ ゴシック" w:hAnsi="ＭＳ ゴシック"/>
          <w:b/>
          <w:bCs/>
        </w:rPr>
        <w:t>一般的意見</w:t>
      </w:r>
      <w:r w:rsidR="0000597B" w:rsidRPr="005B4D8C">
        <w:rPr>
          <w:rFonts w:ascii="ＭＳ ゴシック" w:eastAsia="ＭＳ ゴシック" w:hAnsi="ＭＳ ゴシック"/>
          <w:b/>
          <w:bCs/>
        </w:rPr>
        <w:t>とガイドライン</w:t>
      </w:r>
    </w:p>
    <w:p w:rsidR="00F87D84" w:rsidRDefault="00F87D84" w:rsidP="0000597B"/>
    <w:p w:rsidR="0000597B" w:rsidRDefault="0000597B" w:rsidP="0000597B">
      <w:r>
        <w:t>4.</w:t>
      </w:r>
      <w:r w:rsidR="005B4D8C">
        <w:t xml:space="preserve"> </w:t>
      </w:r>
      <w:r>
        <w:t>障害者権利条約の特定の</w:t>
      </w:r>
      <w:r w:rsidR="00FE140F">
        <w:rPr>
          <w:rFonts w:hint="eastAsia"/>
        </w:rPr>
        <w:t>条項</w:t>
      </w:r>
      <w:r>
        <w:t>をど</w:t>
      </w:r>
      <w:r w:rsidR="00FE140F">
        <w:rPr>
          <w:rFonts w:hint="eastAsia"/>
        </w:rPr>
        <w:t>う</w:t>
      </w:r>
      <w:r>
        <w:t>解釈すべきか</w:t>
      </w:r>
      <w:r w:rsidR="00FE140F">
        <w:rPr>
          <w:rFonts w:hint="eastAsia"/>
        </w:rPr>
        <w:t>、</w:t>
      </w:r>
      <w:r>
        <w:t>締約国</w:t>
      </w:r>
      <w:r w:rsidR="00FE140F">
        <w:rPr>
          <w:rFonts w:hint="eastAsia"/>
        </w:rPr>
        <w:t>への指針と</w:t>
      </w:r>
      <w:r>
        <w:t>するため、委員会は「</w:t>
      </w:r>
      <w:r w:rsidR="00B61E9E">
        <w:t>一般的意見</w:t>
      </w:r>
      <w:r>
        <w:t>」と呼ばれる</w:t>
      </w:r>
      <w:r w:rsidR="00FE140F">
        <w:rPr>
          <w:rFonts w:hint="eastAsia"/>
        </w:rPr>
        <w:t>諸</w:t>
      </w:r>
      <w:r>
        <w:t>文書を</w:t>
      </w:r>
      <w:r w:rsidR="00FE140F">
        <w:rPr>
          <w:rFonts w:hint="eastAsia"/>
        </w:rPr>
        <w:t>採択</w:t>
      </w:r>
      <w:r>
        <w:t>した。</w:t>
      </w:r>
      <w:r w:rsidR="00730B8B">
        <w:rPr>
          <w:rFonts w:hint="eastAsia"/>
        </w:rPr>
        <w:t>最初の一般的意見は</w:t>
      </w:r>
      <w:r>
        <w:t>委員会の第11</w:t>
      </w:r>
      <w:r w:rsidR="00730B8B">
        <w:rPr>
          <w:rFonts w:hint="eastAsia"/>
        </w:rPr>
        <w:t>会期、</w:t>
      </w:r>
      <w:r>
        <w:t>2014年4月に採択され</w:t>
      </w:r>
      <w:r w:rsidR="003F6448">
        <w:t>た</w:t>
      </w:r>
      <w:r>
        <w:t>。2018年7月現在、6つの</w:t>
      </w:r>
      <w:r w:rsidR="00B61E9E">
        <w:t>一般的意見</w:t>
      </w:r>
      <w:r>
        <w:t>が</w:t>
      </w:r>
      <w:r w:rsidR="00730B8B">
        <w:rPr>
          <w:rFonts w:hint="eastAsia"/>
        </w:rPr>
        <w:t>採択</w:t>
      </w:r>
      <w:r>
        <w:t>されてい</w:t>
      </w:r>
      <w:r w:rsidR="003F6448">
        <w:t>る</w:t>
      </w:r>
      <w:r>
        <w:t>。これらの</w:t>
      </w:r>
      <w:r w:rsidR="00B61E9E">
        <w:t>一般的意見</w:t>
      </w:r>
      <w:r>
        <w:t>は、条約の次の</w:t>
      </w:r>
      <w:r w:rsidR="00730B8B">
        <w:rPr>
          <w:rFonts w:hint="eastAsia"/>
        </w:rPr>
        <w:t>条項</w:t>
      </w:r>
      <w:r>
        <w:t>に焦点を当ててい</w:t>
      </w:r>
      <w:r w:rsidR="003F6448">
        <w:t>る</w:t>
      </w:r>
      <w:r>
        <w:t>。平等と</w:t>
      </w:r>
      <w:r w:rsidR="00650930">
        <w:t>無差別</w:t>
      </w:r>
      <w:r>
        <w:t>に関する第5条（CRPD/C/GC/6）、障害のある女性と少女に関する第6条（CRPD/C/GC/3）、アクセシビリテ</w:t>
      </w:r>
      <w:r>
        <w:rPr>
          <w:rFonts w:hint="eastAsia"/>
        </w:rPr>
        <w:t>ィに関する</w:t>
      </w:r>
      <w:r w:rsidR="00730B8B">
        <w:t>第9条</w:t>
      </w:r>
      <w:r>
        <w:rPr>
          <w:rFonts w:hint="eastAsia"/>
        </w:rPr>
        <w:t>（</w:t>
      </w:r>
      <w:r>
        <w:t>CRPD/C/GC/2）、法の前の平等な認識に関する</w:t>
      </w:r>
      <w:r w:rsidR="00730B8B">
        <w:rPr>
          <w:rFonts w:hint="eastAsia"/>
        </w:rPr>
        <w:t>第</w:t>
      </w:r>
      <w:r>
        <w:t>12</w:t>
      </w:r>
      <w:r w:rsidR="00730B8B">
        <w:rPr>
          <w:rFonts w:hint="eastAsia"/>
        </w:rPr>
        <w:t>条</w:t>
      </w:r>
      <w:r>
        <w:t>（CRPD/C/GC/1）、自立生活と</w:t>
      </w:r>
      <w:r w:rsidR="00730B8B">
        <w:rPr>
          <w:rFonts w:hint="eastAsia"/>
        </w:rPr>
        <w:t>地域社会</w:t>
      </w:r>
      <w:r>
        <w:t>への</w:t>
      </w:r>
      <w:r w:rsidR="00274DCA">
        <w:rPr>
          <w:rFonts w:hint="eastAsia"/>
        </w:rPr>
        <w:t>インクルージョン</w:t>
      </w:r>
      <w:r>
        <w:t>に関する</w:t>
      </w:r>
      <w:r w:rsidR="00730B8B">
        <w:rPr>
          <w:rFonts w:hint="eastAsia"/>
        </w:rPr>
        <w:t>第</w:t>
      </w:r>
      <w:r>
        <w:t>19</w:t>
      </w:r>
      <w:r w:rsidR="00730B8B">
        <w:rPr>
          <w:rFonts w:hint="eastAsia"/>
        </w:rPr>
        <w:t>条</w:t>
      </w:r>
      <w:r>
        <w:t>（CRPD/C/GC/5）およびインクルーシブ教育の権利に関する第24条（CRPD/C/GC/4）。条約第4条（3）および33条（3）に関する一般的意見草案は、2018年4月</w:t>
      </w:r>
      <w:r w:rsidR="00730B8B">
        <w:rPr>
          <w:rFonts w:hint="eastAsia"/>
        </w:rPr>
        <w:t>の</w:t>
      </w:r>
      <w:r>
        <w:t>第19</w:t>
      </w:r>
      <w:r w:rsidR="00730B8B">
        <w:rPr>
          <w:rFonts w:hint="eastAsia"/>
        </w:rPr>
        <w:t>会期</w:t>
      </w:r>
      <w:r>
        <w:t>で承認され、2018年9月に採択される</w:t>
      </w:r>
      <w:r w:rsidR="00730B8B">
        <w:rPr>
          <w:rFonts w:hint="eastAsia"/>
        </w:rPr>
        <w:t>予定</w:t>
      </w:r>
      <w:r w:rsidR="003F6448">
        <w:t>である</w:t>
      </w:r>
      <w:r>
        <w:t>。</w:t>
      </w:r>
    </w:p>
    <w:p w:rsidR="00F87D84" w:rsidRDefault="00F87D84" w:rsidP="0000597B"/>
    <w:p w:rsidR="0000597B" w:rsidRDefault="0000597B" w:rsidP="0000597B">
      <w:r>
        <w:t>5.</w:t>
      </w:r>
      <w:r w:rsidR="005B4D8C">
        <w:t xml:space="preserve"> </w:t>
      </w:r>
      <w:r>
        <w:t>並行して委員会は「ガイドライン」と呼ばれる</w:t>
      </w:r>
      <w:r w:rsidR="00730B8B">
        <w:rPr>
          <w:rFonts w:hint="eastAsia"/>
        </w:rPr>
        <w:t>諸</w:t>
      </w:r>
      <w:r>
        <w:t>文書を採択</w:t>
      </w:r>
      <w:r w:rsidR="003F6448">
        <w:t>した</w:t>
      </w:r>
      <w:r>
        <w:t>。これ</w:t>
      </w:r>
      <w:r w:rsidR="0022415F">
        <w:rPr>
          <w:rFonts w:hint="eastAsia"/>
        </w:rPr>
        <w:t>も</w:t>
      </w:r>
      <w:r>
        <w:t>、締約国、障害者、およびその代表組織が</w:t>
      </w:r>
      <w:r w:rsidR="00730B8B">
        <w:rPr>
          <w:rFonts w:hint="eastAsia"/>
        </w:rPr>
        <w:t>、条約を理解し、</w:t>
      </w:r>
      <w:r>
        <w:t>委員会の活動</w:t>
      </w:r>
      <w:r w:rsidR="00730B8B">
        <w:rPr>
          <w:rFonts w:hint="eastAsia"/>
        </w:rPr>
        <w:t>への</w:t>
      </w:r>
      <w:r>
        <w:t>関与</w:t>
      </w:r>
      <w:r w:rsidR="00730B8B">
        <w:rPr>
          <w:rFonts w:hint="eastAsia"/>
        </w:rPr>
        <w:t>の仕方</w:t>
      </w:r>
      <w:r>
        <w:t>を理解するための有用なツールで</w:t>
      </w:r>
      <w:r w:rsidR="003F6448" w:rsidRPr="003F6448">
        <w:t>ある</w:t>
      </w:r>
      <w:r>
        <w:t>。2018年7月現在、次の7つのガイドラインが</w:t>
      </w:r>
      <w:r w:rsidR="003F6448">
        <w:t>ある</w:t>
      </w:r>
      <w:r>
        <w:t>：報告ガイドライン（CRPD/C/2/3; A/66/55、付録V）および</w:t>
      </w:r>
      <w:r w:rsidR="00CC6645">
        <w:t>改訂</w:t>
      </w:r>
      <w:r w:rsidR="00CC6645">
        <w:rPr>
          <w:rFonts w:hint="eastAsia"/>
        </w:rPr>
        <w:t>版</w:t>
      </w:r>
      <w:r>
        <w:t>定期報告ガイドライン（CRPD/C/3）、</w:t>
      </w:r>
      <w:r w:rsidR="00CC6645">
        <w:rPr>
          <w:rFonts w:hint="eastAsia"/>
        </w:rPr>
        <w:t>個人通報</w:t>
      </w:r>
      <w:r>
        <w:t>に関するガイドライン（CRPD/C/5/3/Rev.1）、委員会の</w:t>
      </w:r>
      <w:r w:rsidR="00CC6645">
        <w:rPr>
          <w:rFonts w:hint="eastAsia"/>
        </w:rPr>
        <w:t>活動</w:t>
      </w:r>
      <w:r w:rsidR="0022415F">
        <w:rPr>
          <w:rFonts w:hint="eastAsia"/>
        </w:rPr>
        <w:t>への</w:t>
      </w:r>
      <w:r>
        <w:t>障害者団体および市</w:t>
      </w:r>
      <w:r>
        <w:lastRenderedPageBreak/>
        <w:t>民社会</w:t>
      </w:r>
      <w:r>
        <w:rPr>
          <w:rFonts w:hint="eastAsia"/>
        </w:rPr>
        <w:t>組織の参加に関するガイドライン（</w:t>
      </w:r>
      <w:r>
        <w:t>CRPD/C/11/2、附属書II）、</w:t>
      </w:r>
      <w:r w:rsidR="00CC6645">
        <w:rPr>
          <w:rFonts w:hint="eastAsia"/>
        </w:rPr>
        <w:t>総括所見</w:t>
      </w:r>
      <w:r>
        <w:t>フォローアップに関するガイドライン（CRPD/C/12/2、附属書II）、</w:t>
      </w:r>
      <w:r w:rsidR="00274DCA">
        <w:t>障害のある人</w:t>
      </w:r>
      <w:r>
        <w:t>の</w:t>
      </w:r>
      <w:r w:rsidR="00274DCA">
        <w:rPr>
          <w:rFonts w:hint="eastAsia"/>
        </w:rPr>
        <w:t>身体の</w:t>
      </w:r>
      <w:r>
        <w:t>自由と安全に関する条約第14条に関するガイドライン（A / 7255、附属書）、および独立した監視枠組みに関するガイドライン（CRPD/C/1/Rev.1、付録）。</w:t>
      </w:r>
    </w:p>
    <w:p w:rsidR="00F87D84" w:rsidRDefault="00F87D84" w:rsidP="0000597B">
      <w:pPr>
        <w:rPr>
          <w:b/>
          <w:bCs/>
        </w:rPr>
      </w:pPr>
    </w:p>
    <w:p w:rsidR="0000597B" w:rsidRPr="002A6FF1" w:rsidRDefault="0000597B" w:rsidP="005B4D8C">
      <w:pPr>
        <w:pStyle w:val="a7"/>
        <w:numPr>
          <w:ilvl w:val="0"/>
          <w:numId w:val="1"/>
        </w:numPr>
        <w:ind w:leftChars="0"/>
        <w:rPr>
          <w:rFonts w:ascii="ＭＳ ゴシック" w:eastAsia="ＭＳ ゴシック" w:hAnsi="ＭＳ ゴシック"/>
          <w:b/>
          <w:bCs/>
        </w:rPr>
      </w:pPr>
      <w:r w:rsidRPr="002A6FF1">
        <w:rPr>
          <w:rFonts w:ascii="ＭＳ ゴシック" w:eastAsia="ＭＳ ゴシック" w:hAnsi="ＭＳ ゴシック"/>
          <w:b/>
          <w:bCs/>
        </w:rPr>
        <w:t>締約国</w:t>
      </w:r>
      <w:r w:rsidR="0022415F">
        <w:rPr>
          <w:rFonts w:ascii="ＭＳ ゴシック" w:eastAsia="ＭＳ ゴシック" w:hAnsi="ＭＳ ゴシック" w:hint="eastAsia"/>
          <w:b/>
          <w:bCs/>
        </w:rPr>
        <w:t>が</w:t>
      </w:r>
      <w:r w:rsidRPr="002A6FF1">
        <w:rPr>
          <w:rFonts w:ascii="ＭＳ ゴシック" w:eastAsia="ＭＳ ゴシック" w:hAnsi="ＭＳ ゴシック"/>
          <w:b/>
          <w:bCs/>
        </w:rPr>
        <w:t>提出</w:t>
      </w:r>
      <w:r w:rsidR="0022415F">
        <w:rPr>
          <w:rFonts w:ascii="ＭＳ ゴシック" w:eastAsia="ＭＳ ゴシック" w:hAnsi="ＭＳ ゴシック" w:hint="eastAsia"/>
          <w:b/>
          <w:bCs/>
        </w:rPr>
        <w:t>し</w:t>
      </w:r>
      <w:r w:rsidRPr="002A6FF1">
        <w:rPr>
          <w:rFonts w:ascii="ＭＳ ゴシック" w:eastAsia="ＭＳ ゴシック" w:hAnsi="ＭＳ ゴシック"/>
          <w:b/>
          <w:bCs/>
        </w:rPr>
        <w:t>た報告書の検討</w:t>
      </w:r>
    </w:p>
    <w:p w:rsidR="00F87D84" w:rsidRDefault="00F87D84" w:rsidP="0000597B"/>
    <w:p w:rsidR="0000597B" w:rsidRDefault="0000597B" w:rsidP="0000597B">
      <w:r>
        <w:t>6.</w:t>
      </w:r>
      <w:r w:rsidR="005B4D8C">
        <w:t xml:space="preserve"> </w:t>
      </w:r>
      <w:r>
        <w:t>委員会の主要かつ最も</w:t>
      </w:r>
      <w:r w:rsidR="003E2A56">
        <w:rPr>
          <w:rFonts w:hint="eastAsia"/>
        </w:rPr>
        <w:t>エネルギーを要する活動</w:t>
      </w:r>
      <w:r>
        <w:t>の一つは、批准国</w:t>
      </w:r>
      <w:r w:rsidR="0022415F">
        <w:rPr>
          <w:rFonts w:hint="eastAsia"/>
        </w:rPr>
        <w:t>による</w:t>
      </w:r>
      <w:r>
        <w:t>条約の実施を監視すること</w:t>
      </w:r>
      <w:r w:rsidR="003F6448">
        <w:t>である</w:t>
      </w:r>
      <w:r>
        <w:t>。そのために委員会は、CRPDの第35条</w:t>
      </w:r>
      <w:r w:rsidR="003E2A56">
        <w:rPr>
          <w:rFonts w:hint="eastAsia"/>
        </w:rPr>
        <w:t>の</w:t>
      </w:r>
      <w:r>
        <w:t>要求</w:t>
      </w:r>
      <w:r w:rsidR="003E2A56">
        <w:rPr>
          <w:rFonts w:hint="eastAsia"/>
        </w:rPr>
        <w:t>に従って、</w:t>
      </w:r>
      <w:r>
        <w:t>締約国から提出された報告書を</w:t>
      </w:r>
      <w:r w:rsidR="003E2A56">
        <w:rPr>
          <w:rFonts w:hint="eastAsia"/>
        </w:rPr>
        <w:t>審査</w:t>
      </w:r>
      <w:r>
        <w:t>し、条約のより良い実施のための勧告を含む</w:t>
      </w:r>
      <w:r w:rsidR="00B61E9E">
        <w:t>総括所見</w:t>
      </w:r>
      <w:r>
        <w:t>を</w:t>
      </w:r>
      <w:r w:rsidR="003E2A56">
        <w:rPr>
          <w:rFonts w:hint="eastAsia"/>
        </w:rPr>
        <w:t>採択</w:t>
      </w:r>
      <w:r w:rsidR="003F6448">
        <w:t>する</w:t>
      </w:r>
      <w:r>
        <w:t>。CRPD委員会の第19</w:t>
      </w:r>
      <w:r w:rsidR="003E2A56">
        <w:rPr>
          <w:rFonts w:hint="eastAsia"/>
        </w:rPr>
        <w:t>会期</w:t>
      </w:r>
      <w:r>
        <w:t>終了</w:t>
      </w:r>
      <w:r w:rsidR="003E2A56">
        <w:rPr>
          <w:rFonts w:hint="eastAsia"/>
        </w:rPr>
        <w:t>日の</w:t>
      </w:r>
      <w:r>
        <w:t>2018年3月9日</w:t>
      </w:r>
      <w:r w:rsidR="003E2A56">
        <w:rPr>
          <w:rFonts w:hint="eastAsia"/>
        </w:rPr>
        <w:t>までに</w:t>
      </w:r>
      <w:r>
        <w:t>、委員会は、地域統合組織である欧州連合</w:t>
      </w:r>
      <w:r w:rsidR="003E2A56">
        <w:rPr>
          <w:rFonts w:hint="eastAsia"/>
        </w:rPr>
        <w:t>（EU</w:t>
      </w:r>
      <w:r w:rsidR="003E2A56">
        <w:t>）</w:t>
      </w:r>
      <w:r>
        <w:t>の報告</w:t>
      </w:r>
      <w:r w:rsidR="002A6FF1">
        <w:rPr>
          <w:rFonts w:hint="eastAsia"/>
        </w:rPr>
        <w:t>書</w:t>
      </w:r>
      <w:r>
        <w:t>を含む、</w:t>
      </w:r>
      <w:r w:rsidR="003E2A56">
        <w:t>68の</w:t>
      </w:r>
      <w:r>
        <w:t>締約国の報告</w:t>
      </w:r>
      <w:r w:rsidR="002A6FF1">
        <w:rPr>
          <w:rFonts w:hint="eastAsia"/>
        </w:rPr>
        <w:t>書</w:t>
      </w:r>
      <w:r>
        <w:t>を検討し</w:t>
      </w:r>
      <w:r w:rsidR="003F6448">
        <w:t>た</w:t>
      </w:r>
      <w:r w:rsidR="00C17A93" w:rsidRPr="00995477">
        <w:rPr>
          <w:rStyle w:val="ac"/>
          <w:rFonts w:cs="Arial"/>
        </w:rPr>
        <w:footnoteReference w:id="1"/>
      </w:r>
      <w:r>
        <w:t>。締約国報告から生じ</w:t>
      </w:r>
      <w:r w:rsidR="003E2A56">
        <w:rPr>
          <w:rFonts w:hint="eastAsia"/>
        </w:rPr>
        <w:t>た</w:t>
      </w:r>
      <w:r>
        <w:t>実質的な問題に関する質問を含む</w:t>
      </w:r>
      <w:r w:rsidR="003F6448">
        <w:t>事前質問事項</w:t>
      </w:r>
      <w:r>
        <w:t>を同</w:t>
      </w:r>
      <w:r w:rsidR="003E2A56">
        <w:rPr>
          <w:rFonts w:hint="eastAsia"/>
        </w:rPr>
        <w:t>数</w:t>
      </w:r>
      <w:r>
        <w:t>作成し、報告書に</w:t>
      </w:r>
      <w:r>
        <w:rPr>
          <w:rFonts w:hint="eastAsia"/>
        </w:rPr>
        <w:t>関する提案と一般的</w:t>
      </w:r>
      <w:r w:rsidR="002A6FF1">
        <w:rPr>
          <w:rFonts w:hint="eastAsia"/>
        </w:rPr>
        <w:t>な勧告</w:t>
      </w:r>
      <w:r>
        <w:rPr>
          <w:rFonts w:hint="eastAsia"/>
        </w:rPr>
        <w:t>を含む</w:t>
      </w:r>
      <w:r w:rsidR="002A6FF1">
        <w:rPr>
          <w:rFonts w:hint="eastAsia"/>
        </w:rPr>
        <w:t>総括</w:t>
      </w:r>
      <w:r>
        <w:rPr>
          <w:rFonts w:hint="eastAsia"/>
        </w:rPr>
        <w:t>所見をまとめた</w:t>
      </w:r>
      <w:r w:rsidR="00C17A93">
        <w:rPr>
          <w:rStyle w:val="ac"/>
          <w:rFonts w:cs="Arial"/>
        </w:rPr>
        <w:footnoteReference w:id="2"/>
      </w:r>
      <w:r>
        <w:rPr>
          <w:rFonts w:hint="eastAsia"/>
        </w:rPr>
        <w:t>。</w:t>
      </w:r>
      <w:r w:rsidR="003E2A56">
        <w:rPr>
          <w:rFonts w:hint="eastAsia"/>
        </w:rPr>
        <w:t xml:space="preserve">　</w:t>
      </w:r>
    </w:p>
    <w:p w:rsidR="00F87D84" w:rsidRDefault="00F87D84" w:rsidP="0000597B"/>
    <w:p w:rsidR="0000597B" w:rsidRDefault="0000597B" w:rsidP="0000597B">
      <w:r>
        <w:t>7.</w:t>
      </w:r>
      <w:r w:rsidR="005B4D8C">
        <w:t xml:space="preserve"> </w:t>
      </w:r>
      <w:r>
        <w:t>「審査の最初のサイクル」と呼ばれる、委員会によるすべての締約国の</w:t>
      </w:r>
      <w:r w:rsidR="002A6FF1">
        <w:rPr>
          <w:rFonts w:hint="eastAsia"/>
        </w:rPr>
        <w:t>初回</w:t>
      </w:r>
      <w:r>
        <w:t>審査はまだ進行中</w:t>
      </w:r>
      <w:r w:rsidR="003F6448">
        <w:t>である</w:t>
      </w:r>
      <w:r>
        <w:t>。これは、条約</w:t>
      </w:r>
      <w:r w:rsidR="002A6FF1">
        <w:rPr>
          <w:rFonts w:hint="eastAsia"/>
        </w:rPr>
        <w:t>の</w:t>
      </w:r>
      <w:r>
        <w:t>批准国の数が増えたことと、一部の締約国</w:t>
      </w:r>
      <w:r w:rsidR="002A6FF1">
        <w:rPr>
          <w:rFonts w:hint="eastAsia"/>
        </w:rPr>
        <w:t>の</w:t>
      </w:r>
      <w:r>
        <w:t>報告書の提出の遅れによる。最初の</w:t>
      </w:r>
      <w:r w:rsidR="00405036">
        <w:t>締約国</w:t>
      </w:r>
      <w:r w:rsidR="002A6FF1">
        <w:rPr>
          <w:rFonts w:hint="eastAsia"/>
        </w:rPr>
        <w:t>審査</w:t>
      </w:r>
      <w:r>
        <w:t>に続く定期的な</w:t>
      </w:r>
      <w:r w:rsidR="002A6FF1">
        <w:rPr>
          <w:rFonts w:hint="eastAsia"/>
        </w:rPr>
        <w:t>審査</w:t>
      </w:r>
      <w:r>
        <w:t>は、2013年に委員会によって確立された「簡易報告</w:t>
      </w:r>
      <w:r w:rsidR="00405036">
        <w:rPr>
          <w:rFonts w:hint="eastAsia"/>
        </w:rPr>
        <w:t>手続き</w:t>
      </w:r>
      <w:r>
        <w:t>」に従うことが</w:t>
      </w:r>
      <w:r w:rsidR="003F6448">
        <w:t>できる</w:t>
      </w:r>
      <w:r>
        <w:t>。2017年4月</w:t>
      </w:r>
      <w:r w:rsidR="00405036">
        <w:rPr>
          <w:rFonts w:hint="eastAsia"/>
        </w:rPr>
        <w:t>の</w:t>
      </w:r>
      <w:r>
        <w:t>第17回会期で</w:t>
      </w:r>
      <w:r w:rsidR="00405036">
        <w:rPr>
          <w:rFonts w:hint="eastAsia"/>
        </w:rPr>
        <w:t>委員会は、この手続きに従った最初の報告前質問事項（</w:t>
      </w:r>
      <w:r w:rsidR="00405036" w:rsidRPr="00405036">
        <w:t>list of issues prior to reporting</w:t>
      </w:r>
      <w:r w:rsidR="00405036">
        <w:rPr>
          <w:rFonts w:hint="eastAsia"/>
        </w:rPr>
        <w:t>）を採択した。</w:t>
      </w:r>
      <w:r>
        <w:t>定期報告</w:t>
      </w:r>
      <w:r w:rsidR="00405036">
        <w:rPr>
          <w:rFonts w:hint="eastAsia"/>
        </w:rPr>
        <w:t>で</w:t>
      </w:r>
      <w:r>
        <w:t>各国は、</w:t>
      </w:r>
      <w:r w:rsidR="00405036">
        <w:rPr>
          <w:rFonts w:hint="eastAsia"/>
        </w:rPr>
        <w:t>総括所見で</w:t>
      </w:r>
      <w:r w:rsidR="00405036">
        <w:t>委員会</w:t>
      </w:r>
      <w:r w:rsidR="00405036">
        <w:rPr>
          <w:rFonts w:hint="eastAsia"/>
        </w:rPr>
        <w:t>が示した勧告の実行状況と</w:t>
      </w:r>
      <w:r>
        <w:t>発生し</w:t>
      </w:r>
      <w:r w:rsidR="00405036">
        <w:rPr>
          <w:rFonts w:hint="eastAsia"/>
        </w:rPr>
        <w:t>てき</w:t>
      </w:r>
      <w:r>
        <w:t>た新しい</w:t>
      </w:r>
      <w:r w:rsidR="00405036">
        <w:rPr>
          <w:rFonts w:hint="eastAsia"/>
        </w:rPr>
        <w:t>展開</w:t>
      </w:r>
      <w:r>
        <w:t>について報告</w:t>
      </w:r>
      <w:r w:rsidR="003F6448">
        <w:t>する</w:t>
      </w:r>
      <w:r>
        <w:t>。詳細は、委員会の2009年報告ガイドライン（CRPD/C/2/3; A/66/55、附属書V）および2016年改訂定期報告ガイドライン（CRPD/C/3）を</w:t>
      </w:r>
      <w:r w:rsidR="00E67F3F">
        <w:rPr>
          <w:rFonts w:hint="eastAsia"/>
        </w:rPr>
        <w:t>参照</w:t>
      </w:r>
      <w:r>
        <w:t>。</w:t>
      </w:r>
    </w:p>
    <w:p w:rsidR="00F87D84" w:rsidRDefault="00F87D84" w:rsidP="0000597B">
      <w:pPr>
        <w:rPr>
          <w:b/>
          <w:bCs/>
        </w:rPr>
      </w:pPr>
    </w:p>
    <w:p w:rsidR="0000597B" w:rsidRPr="005B4D8C" w:rsidRDefault="00E67F3F" w:rsidP="005B4D8C">
      <w:pPr>
        <w:pStyle w:val="a7"/>
        <w:numPr>
          <w:ilvl w:val="0"/>
          <w:numId w:val="1"/>
        </w:numPr>
        <w:ind w:leftChars="0"/>
        <w:rPr>
          <w:rFonts w:ascii="ＭＳ ゴシック" w:eastAsia="ＭＳ ゴシック" w:hAnsi="ＭＳ ゴシック"/>
          <w:b/>
          <w:bCs/>
        </w:rPr>
      </w:pPr>
      <w:r>
        <w:rPr>
          <w:rFonts w:ascii="ＭＳ ゴシック" w:eastAsia="ＭＳ ゴシック" w:hAnsi="ＭＳ ゴシック" w:hint="eastAsia"/>
          <w:b/>
          <w:bCs/>
        </w:rPr>
        <w:t>総括所見</w:t>
      </w:r>
      <w:r w:rsidR="0000597B" w:rsidRPr="005B4D8C">
        <w:rPr>
          <w:rFonts w:ascii="ＭＳ ゴシック" w:eastAsia="ＭＳ ゴシック" w:hAnsi="ＭＳ ゴシック"/>
          <w:b/>
          <w:bCs/>
        </w:rPr>
        <w:t>のフォローアップ</w:t>
      </w:r>
    </w:p>
    <w:p w:rsidR="00F87D84" w:rsidRDefault="00F87D84" w:rsidP="0000597B"/>
    <w:p w:rsidR="0000597B" w:rsidRDefault="0000597B" w:rsidP="0000597B">
      <w:r>
        <w:t>8.</w:t>
      </w:r>
      <w:r w:rsidR="005B4D8C">
        <w:t xml:space="preserve"> </w:t>
      </w:r>
      <w:r>
        <w:t>委員会は、</w:t>
      </w:r>
      <w:r w:rsidR="00015E5F">
        <w:rPr>
          <w:rFonts w:hint="eastAsia"/>
        </w:rPr>
        <w:t>総括</w:t>
      </w:r>
      <w:r>
        <w:t>所見</w:t>
      </w:r>
      <w:r w:rsidR="00000FEB">
        <w:rPr>
          <w:rFonts w:hint="eastAsia"/>
        </w:rPr>
        <w:t>の中で</w:t>
      </w:r>
      <w:r w:rsidR="00015E5F">
        <w:rPr>
          <w:rFonts w:hint="eastAsia"/>
        </w:rPr>
        <w:t>具体的な</w:t>
      </w:r>
      <w:r>
        <w:t>懸念事項を特定</w:t>
      </w:r>
      <w:r w:rsidR="00A91780">
        <w:rPr>
          <w:rFonts w:hint="eastAsia"/>
        </w:rPr>
        <w:t>し、</w:t>
      </w:r>
      <w:r w:rsidR="00015E5F">
        <w:t>締約国が焦点を当てる</w:t>
      </w:r>
      <w:r w:rsidR="00A91780">
        <w:rPr>
          <w:rFonts w:hint="eastAsia"/>
        </w:rPr>
        <w:t>よう求める。</w:t>
      </w:r>
      <w:r>
        <w:t>適切な実施を確実にするために、フォローアップ手順の一部として、これらの</w:t>
      </w:r>
      <w:r w:rsidR="00A91780">
        <w:rPr>
          <w:rFonts w:hint="eastAsia"/>
        </w:rPr>
        <w:t>勧告</w:t>
      </w:r>
      <w:r>
        <w:t>事項の実施に関する書面による情報提供を</w:t>
      </w:r>
      <w:r w:rsidR="00A91780">
        <w:rPr>
          <w:rFonts w:hint="eastAsia"/>
        </w:rPr>
        <w:t>審査</w:t>
      </w:r>
      <w:r>
        <w:t>済み締約国に要求する場合が</w:t>
      </w:r>
      <w:r w:rsidR="003F6448">
        <w:t>ある</w:t>
      </w:r>
      <w:r>
        <w:t>。この手順は、委員会の作業方法（CRPD/C/5/4）のパラグラフ19-22</w:t>
      </w:r>
      <w:r w:rsidR="00A91780">
        <w:rPr>
          <w:rFonts w:hint="eastAsia"/>
        </w:rPr>
        <w:t>および</w:t>
      </w:r>
      <w:r>
        <w:t>2014年の</w:t>
      </w:r>
      <w:r w:rsidR="00A91780">
        <w:rPr>
          <w:rFonts w:hint="eastAsia"/>
        </w:rPr>
        <w:t>総括所見の</w:t>
      </w:r>
      <w:r>
        <w:t>フォローアップの手順に関するガイドライン（CRPD/C/12/2、付録II）</w:t>
      </w:r>
      <w:r w:rsidR="00A91780">
        <w:t>で説明されて</w:t>
      </w:r>
      <w:r w:rsidR="00A91780">
        <w:rPr>
          <w:rFonts w:hint="eastAsia"/>
        </w:rPr>
        <w:t>いる</w:t>
      </w:r>
      <w:r>
        <w:t>。これらのガイドラインは、フォローアップ</w:t>
      </w:r>
      <w:r>
        <w:rPr>
          <w:rFonts w:hint="eastAsia"/>
        </w:rPr>
        <w:t>に関する報告者</w:t>
      </w:r>
      <w:r w:rsidR="00A91780">
        <w:rPr>
          <w:rFonts w:hint="eastAsia"/>
        </w:rPr>
        <w:t>と対比した国別</w:t>
      </w:r>
      <w:r>
        <w:rPr>
          <w:rFonts w:hint="eastAsia"/>
        </w:rPr>
        <w:t>報告者の役割、フォローアップ</w:t>
      </w:r>
      <w:r w:rsidR="00000FEB">
        <w:rPr>
          <w:rFonts w:hint="eastAsia"/>
        </w:rPr>
        <w:t>する勧告項目</w:t>
      </w:r>
      <w:r>
        <w:rPr>
          <w:rFonts w:hint="eastAsia"/>
        </w:rPr>
        <w:t>を特定する基準、および締約国の回答を評価する基準</w:t>
      </w:r>
      <w:r w:rsidR="00000FEB">
        <w:rPr>
          <w:rFonts w:hint="eastAsia"/>
        </w:rPr>
        <w:t>を取り扱っている。</w:t>
      </w:r>
      <w:r>
        <w:rPr>
          <w:rFonts w:hint="eastAsia"/>
        </w:rPr>
        <w:t>委員会は、回答を「満足」、「部分的に満足」、または「不満足」とみなす場合が</w:t>
      </w:r>
      <w:r w:rsidR="003F6448">
        <w:rPr>
          <w:rFonts w:hint="eastAsia"/>
        </w:rPr>
        <w:t>ある</w:t>
      </w:r>
      <w:r>
        <w:rPr>
          <w:rFonts w:hint="eastAsia"/>
        </w:rPr>
        <w:t>。</w:t>
      </w:r>
    </w:p>
    <w:p w:rsidR="0000597B" w:rsidRDefault="0000597B" w:rsidP="0000597B"/>
    <w:p w:rsidR="0000597B" w:rsidRDefault="0000597B" w:rsidP="0000597B">
      <w:r>
        <w:t>9.</w:t>
      </w:r>
      <w:r w:rsidR="005B4D8C">
        <w:t xml:space="preserve"> </w:t>
      </w:r>
      <w:r>
        <w:t>委員会は、2015年4月の第13回</w:t>
      </w:r>
      <w:r w:rsidR="00000FEB">
        <w:rPr>
          <w:rFonts w:hint="eastAsia"/>
        </w:rPr>
        <w:t>会期</w:t>
      </w:r>
      <w:r>
        <w:t>と2018年2月の第19回</w:t>
      </w:r>
      <w:r w:rsidR="00000FEB">
        <w:rPr>
          <w:rFonts w:hint="eastAsia"/>
        </w:rPr>
        <w:t>会期の私的会合の</w:t>
      </w:r>
      <w:r>
        <w:t>2回のみ</w:t>
      </w:r>
      <w:r w:rsidR="00000FEB">
        <w:rPr>
          <w:rFonts w:hint="eastAsia"/>
        </w:rPr>
        <w:t>、</w:t>
      </w:r>
      <w:r>
        <w:t>フォローアップ活動に取り組んだ</w:t>
      </w:r>
      <w:r w:rsidR="00450762">
        <w:rPr>
          <w:rStyle w:val="ac"/>
          <w:rFonts w:cs="Arial"/>
        </w:rPr>
        <w:footnoteReference w:id="3"/>
      </w:r>
      <w:r>
        <w:t>。委員会は、第19回</w:t>
      </w:r>
      <w:r w:rsidR="00000FEB">
        <w:rPr>
          <w:rFonts w:hint="eastAsia"/>
        </w:rPr>
        <w:t>会期</w:t>
      </w:r>
      <w:r>
        <w:t>の報告書において、今後締約国の</w:t>
      </w:r>
      <w:r w:rsidR="00000FEB">
        <w:rPr>
          <w:rFonts w:hint="eastAsia"/>
        </w:rPr>
        <w:t>総括所見</w:t>
      </w:r>
      <w:r>
        <w:t>のフォローアップ活動を検討するため</w:t>
      </w:r>
      <w:r w:rsidR="00F177C4">
        <w:rPr>
          <w:rFonts w:hint="eastAsia"/>
        </w:rPr>
        <w:t>の</w:t>
      </w:r>
      <w:r>
        <w:t>時間が不足し続けることを予見し、フォローアップに関する</w:t>
      </w:r>
      <w:r w:rsidR="00F177C4">
        <w:rPr>
          <w:rFonts w:hint="eastAsia"/>
        </w:rPr>
        <w:t>締約国の</w:t>
      </w:r>
      <w:r>
        <w:t>報告</w:t>
      </w:r>
      <w:r w:rsidR="00F177C4">
        <w:rPr>
          <w:rFonts w:hint="eastAsia"/>
        </w:rPr>
        <w:t>の検討は</w:t>
      </w:r>
      <w:r w:rsidR="00F177C4">
        <w:t>1年に1回または2年に1回</w:t>
      </w:r>
      <w:r>
        <w:t>のみ</w:t>
      </w:r>
      <w:r w:rsidR="00F177C4">
        <w:rPr>
          <w:rFonts w:hint="eastAsia"/>
        </w:rPr>
        <w:t>とする</w:t>
      </w:r>
      <w:r>
        <w:t>こと</w:t>
      </w:r>
      <w:r w:rsidR="00F177C4">
        <w:rPr>
          <w:rFonts w:hint="eastAsia"/>
        </w:rPr>
        <w:t>とした。</w:t>
      </w:r>
    </w:p>
    <w:p w:rsidR="00F87D84" w:rsidRDefault="00F87D84" w:rsidP="0000597B">
      <w:pPr>
        <w:rPr>
          <w:b/>
          <w:bCs/>
        </w:rPr>
      </w:pPr>
    </w:p>
    <w:p w:rsidR="0000597B" w:rsidRPr="00FF6309" w:rsidRDefault="0000597B" w:rsidP="0000597B">
      <w:pPr>
        <w:rPr>
          <w:rFonts w:ascii="ＭＳ ゴシック" w:eastAsia="ＭＳ ゴシック" w:hAnsi="ＭＳ ゴシック"/>
          <w:b/>
          <w:bCs/>
        </w:rPr>
      </w:pPr>
      <w:r w:rsidRPr="00FF6309">
        <w:rPr>
          <w:rFonts w:ascii="ＭＳ ゴシック" w:eastAsia="ＭＳ ゴシック" w:hAnsi="ＭＳ ゴシック"/>
          <w:b/>
          <w:bCs/>
        </w:rPr>
        <w:t>III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00F177C4">
        <w:rPr>
          <w:rFonts w:ascii="ＭＳ ゴシック" w:eastAsia="ＭＳ ゴシック" w:hAnsi="ＭＳ ゴシック" w:hint="eastAsia"/>
          <w:b/>
          <w:bCs/>
        </w:rPr>
        <w:t>選択</w:t>
      </w:r>
      <w:r w:rsidRPr="00FF6309">
        <w:rPr>
          <w:rFonts w:ascii="ＭＳ ゴシック" w:eastAsia="ＭＳ ゴシック" w:hAnsi="ＭＳ ゴシック"/>
          <w:b/>
          <w:bCs/>
        </w:rPr>
        <w:t>議定書</w:t>
      </w:r>
      <w:r w:rsidR="00F177C4">
        <w:rPr>
          <w:rFonts w:ascii="ＭＳ ゴシック" w:eastAsia="ＭＳ ゴシック" w:hAnsi="ＭＳ ゴシック" w:hint="eastAsia"/>
          <w:b/>
          <w:bCs/>
        </w:rPr>
        <w:t>に</w:t>
      </w:r>
      <w:r w:rsidR="0022415F">
        <w:rPr>
          <w:rFonts w:ascii="ＭＳ ゴシック" w:eastAsia="ＭＳ ゴシック" w:hAnsi="ＭＳ ゴシック" w:hint="eastAsia"/>
          <w:b/>
          <w:bCs/>
        </w:rPr>
        <w:t>基づいて</w:t>
      </w:r>
      <w:r w:rsidRPr="00FF6309">
        <w:rPr>
          <w:rFonts w:ascii="ＭＳ ゴシック" w:eastAsia="ＭＳ ゴシック" w:hAnsi="ＭＳ ゴシック"/>
          <w:b/>
          <w:bCs/>
        </w:rPr>
        <w:t>CRPD委員会が</w:t>
      </w:r>
      <w:r w:rsidR="0022415F">
        <w:rPr>
          <w:rFonts w:ascii="ＭＳ ゴシック" w:eastAsia="ＭＳ ゴシック" w:hAnsi="ＭＳ ゴシック" w:hint="eastAsia"/>
          <w:b/>
          <w:bCs/>
        </w:rPr>
        <w:t>実施し</w:t>
      </w:r>
      <w:r w:rsidR="00F177C4">
        <w:rPr>
          <w:rFonts w:ascii="ＭＳ ゴシック" w:eastAsia="ＭＳ ゴシック" w:hAnsi="ＭＳ ゴシック" w:hint="eastAsia"/>
          <w:b/>
          <w:bCs/>
        </w:rPr>
        <w:t>た</w:t>
      </w:r>
      <w:r w:rsidRPr="00FF6309">
        <w:rPr>
          <w:rFonts w:ascii="ＭＳ ゴシック" w:eastAsia="ＭＳ ゴシック" w:hAnsi="ＭＳ ゴシック"/>
          <w:b/>
          <w:bCs/>
        </w:rPr>
        <w:t>活動</w:t>
      </w:r>
    </w:p>
    <w:p w:rsidR="00F87D84" w:rsidRPr="00FF6309" w:rsidRDefault="00F87D84" w:rsidP="0000597B">
      <w:pPr>
        <w:rPr>
          <w:rFonts w:ascii="ＭＳ ゴシック" w:eastAsia="ＭＳ ゴシック" w:hAnsi="ＭＳ ゴシック"/>
          <w:b/>
          <w:bCs/>
        </w:rPr>
      </w:pPr>
    </w:p>
    <w:p w:rsidR="0000597B" w:rsidRPr="005B4D8C" w:rsidRDefault="00F177C4" w:rsidP="005B4D8C">
      <w:pPr>
        <w:pStyle w:val="a7"/>
        <w:numPr>
          <w:ilvl w:val="0"/>
          <w:numId w:val="2"/>
        </w:numPr>
        <w:ind w:leftChars="0"/>
        <w:rPr>
          <w:rFonts w:ascii="ＭＳ ゴシック" w:eastAsia="ＭＳ ゴシック" w:hAnsi="ＭＳ ゴシック"/>
          <w:b/>
          <w:bCs/>
        </w:rPr>
      </w:pPr>
      <w:r>
        <w:rPr>
          <w:rFonts w:ascii="ＭＳ ゴシック" w:eastAsia="ＭＳ ゴシック" w:hAnsi="ＭＳ ゴシック" w:hint="eastAsia"/>
          <w:b/>
          <w:bCs/>
        </w:rPr>
        <w:t>個人通報</w:t>
      </w:r>
      <w:r w:rsidR="0000597B" w:rsidRPr="005B4D8C">
        <w:rPr>
          <w:rFonts w:ascii="ＭＳ ゴシック" w:eastAsia="ＭＳ ゴシック" w:hAnsi="ＭＳ ゴシック"/>
          <w:b/>
          <w:bCs/>
        </w:rPr>
        <w:t>に関する見解</w:t>
      </w:r>
    </w:p>
    <w:p w:rsidR="00F87D84" w:rsidRDefault="00F87D84" w:rsidP="0000597B"/>
    <w:p w:rsidR="0000597B" w:rsidRDefault="0000597B" w:rsidP="0000597B">
      <w:r>
        <w:t>10.</w:t>
      </w:r>
      <w:r w:rsidR="005B4D8C">
        <w:t xml:space="preserve"> </w:t>
      </w:r>
      <w:r>
        <w:t xml:space="preserve"> CRPDの選択議定書の下で、委員会は、条約およびその選択議定書を批准した国の管轄下にある個人または</w:t>
      </w:r>
      <w:r w:rsidR="00DC2C85">
        <w:rPr>
          <w:rFonts w:hint="eastAsia"/>
        </w:rPr>
        <w:t>個人に代わる者あるいは</w:t>
      </w:r>
      <w:r>
        <w:t>個人</w:t>
      </w:r>
      <w:r w:rsidR="00DC2C85">
        <w:rPr>
          <w:rFonts w:hint="eastAsia"/>
        </w:rPr>
        <w:t>の</w:t>
      </w:r>
      <w:r>
        <w:t>グループから</w:t>
      </w:r>
      <w:r w:rsidR="00DC2C85">
        <w:rPr>
          <w:rFonts w:hint="eastAsia"/>
        </w:rPr>
        <w:t>の通報</w:t>
      </w:r>
      <w:r>
        <w:t>を受け取り、検討することが</w:t>
      </w:r>
      <w:r w:rsidR="003F6448" w:rsidRPr="003F6448">
        <w:t>できる</w:t>
      </w:r>
      <w:r w:rsidR="00450762">
        <w:rPr>
          <w:rStyle w:val="ac"/>
          <w:rFonts w:cs="Arial"/>
        </w:rPr>
        <w:footnoteReference w:id="4"/>
      </w:r>
      <w:r>
        <w:t>。</w:t>
      </w:r>
      <w:r w:rsidR="00DC2C85">
        <w:t>2018年7月</w:t>
      </w:r>
      <w:r w:rsidR="00DC2C85">
        <w:rPr>
          <w:rFonts w:hint="eastAsia"/>
        </w:rPr>
        <w:t>までに</w:t>
      </w:r>
      <w:r w:rsidR="00DC2C85">
        <w:t>、選択議定書の第5条に基づ</w:t>
      </w:r>
      <w:r w:rsidR="00DC2C85">
        <w:rPr>
          <w:rFonts w:hint="eastAsia"/>
        </w:rPr>
        <w:t>いて</w:t>
      </w:r>
      <w:r>
        <w:t>委員会は、締約国が条約に基づく権利を侵害したと主張する個人または個人のグループ</w:t>
      </w:r>
      <w:r w:rsidR="00DC2C85">
        <w:rPr>
          <w:rFonts w:hint="eastAsia"/>
        </w:rPr>
        <w:t>が</w:t>
      </w:r>
      <w:r w:rsidR="00DC2C85">
        <w:t>提出</w:t>
      </w:r>
      <w:r w:rsidR="00DC2C85">
        <w:rPr>
          <w:rFonts w:hint="eastAsia"/>
        </w:rPr>
        <w:t>した</w:t>
      </w:r>
      <w:r>
        <w:t>24の</w:t>
      </w:r>
      <w:r w:rsidR="00DC2C85">
        <w:rPr>
          <w:rFonts w:hint="eastAsia"/>
        </w:rPr>
        <w:t>通報</w:t>
      </w:r>
      <w:r>
        <w:t>を検討</w:t>
      </w:r>
      <w:r w:rsidR="003F6448">
        <w:t>した</w:t>
      </w:r>
      <w:r>
        <w:t>。これらの24の</w:t>
      </w:r>
      <w:r w:rsidR="00DC2C85">
        <w:rPr>
          <w:rFonts w:hint="eastAsia"/>
        </w:rPr>
        <w:t>通報</w:t>
      </w:r>
      <w:r>
        <w:t>のうち、2</w:t>
      </w:r>
      <w:r w:rsidR="00DC2C85">
        <w:rPr>
          <w:rFonts w:hint="eastAsia"/>
        </w:rPr>
        <w:t>つ</w:t>
      </w:r>
      <w:r>
        <w:t>は中止され、8</w:t>
      </w:r>
      <w:r w:rsidR="00DC2C85">
        <w:rPr>
          <w:rFonts w:hint="eastAsia"/>
        </w:rPr>
        <w:t>つ</w:t>
      </w:r>
      <w:r>
        <w:t>は</w:t>
      </w:r>
      <w:r w:rsidR="009C38F9">
        <w:rPr>
          <w:rFonts w:hint="eastAsia"/>
        </w:rPr>
        <w:t>受理</w:t>
      </w:r>
      <w:r>
        <w:t>できないと判断され</w:t>
      </w:r>
      <w:r w:rsidR="003F6448">
        <w:t>た</w:t>
      </w:r>
      <w:r>
        <w:t>。</w:t>
      </w:r>
      <w:r w:rsidR="009C38F9">
        <w:rPr>
          <w:rFonts w:hint="eastAsia"/>
        </w:rPr>
        <w:t>他</w:t>
      </w:r>
      <w:r>
        <w:t>の22ケースは、委員会による調査をまだ待って</w:t>
      </w:r>
      <w:r w:rsidR="003F6448" w:rsidRPr="003F6448">
        <w:t>いる</w:t>
      </w:r>
      <w:r w:rsidR="00450762" w:rsidRPr="00995477">
        <w:rPr>
          <w:rStyle w:val="ac"/>
          <w:rFonts w:cs="Arial"/>
        </w:rPr>
        <w:footnoteReference w:id="5"/>
      </w:r>
      <w:r>
        <w:t>。</w:t>
      </w:r>
    </w:p>
    <w:p w:rsidR="00F87D84" w:rsidRDefault="00F87D84" w:rsidP="0000597B"/>
    <w:p w:rsidR="0000597B" w:rsidRDefault="0000597B" w:rsidP="0000597B">
      <w:r w:rsidRPr="00234762">
        <w:t>11.</w:t>
      </w:r>
      <w:r w:rsidR="005B4D8C" w:rsidRPr="00234762">
        <w:t xml:space="preserve"> </w:t>
      </w:r>
      <w:r w:rsidRPr="00234762">
        <w:t>委員会が検討した</w:t>
      </w:r>
      <w:r w:rsidR="009C38F9">
        <w:rPr>
          <w:rFonts w:hint="eastAsia"/>
        </w:rPr>
        <w:t>通報</w:t>
      </w:r>
      <w:r w:rsidRPr="00234762">
        <w:t>の大部分は、差別（7</w:t>
      </w:r>
      <w:r w:rsidR="009C38F9">
        <w:rPr>
          <w:rFonts w:hint="eastAsia"/>
        </w:rPr>
        <w:t>通報</w:t>
      </w:r>
      <w:r w:rsidRPr="00234762">
        <w:t>）</w:t>
      </w:r>
      <w:r w:rsidR="00450762">
        <w:rPr>
          <w:rStyle w:val="ac"/>
          <w:rFonts w:cs="Arial"/>
        </w:rPr>
        <w:footnoteReference w:id="6"/>
      </w:r>
      <w:r w:rsidRPr="00234762">
        <w:t>、</w:t>
      </w:r>
      <w:r>
        <w:t>アクセシビリティ（6</w:t>
      </w:r>
      <w:r w:rsidR="009C38F9">
        <w:rPr>
          <w:rFonts w:hint="eastAsia"/>
        </w:rPr>
        <w:t>通報</w:t>
      </w:r>
      <w:r>
        <w:t>）</w:t>
      </w:r>
      <w:r w:rsidR="00450762">
        <w:rPr>
          <w:rStyle w:val="ac"/>
          <w:rFonts w:cs="Arial"/>
        </w:rPr>
        <w:footnoteReference w:id="7"/>
      </w:r>
      <w:r>
        <w:t>、</w:t>
      </w:r>
      <w:r w:rsidR="009C38F9">
        <w:rPr>
          <w:rFonts w:hint="eastAsia"/>
        </w:rPr>
        <w:t>司法</w:t>
      </w:r>
      <w:r>
        <w:t>へのアクセス（5</w:t>
      </w:r>
      <w:r w:rsidR="009C38F9">
        <w:rPr>
          <w:rFonts w:hint="eastAsia"/>
        </w:rPr>
        <w:t>通報</w:t>
      </w:r>
      <w:r>
        <w:t>）</w:t>
      </w:r>
      <w:r w:rsidR="00450762">
        <w:rPr>
          <w:rStyle w:val="ac"/>
          <w:rFonts w:cs="Arial"/>
        </w:rPr>
        <w:footnoteReference w:id="8"/>
      </w:r>
      <w:r>
        <w:t>、政治および公的</w:t>
      </w:r>
      <w:r w:rsidR="009C38F9">
        <w:rPr>
          <w:rFonts w:hint="eastAsia"/>
        </w:rPr>
        <w:t>活動</w:t>
      </w:r>
      <w:r>
        <w:t>への参加（5</w:t>
      </w:r>
      <w:r w:rsidR="009C38F9">
        <w:rPr>
          <w:rFonts w:hint="eastAsia"/>
        </w:rPr>
        <w:t>通報</w:t>
      </w:r>
      <w:r>
        <w:t>）</w:t>
      </w:r>
      <w:r w:rsidR="00450762">
        <w:rPr>
          <w:rStyle w:val="ac"/>
          <w:rFonts w:cs="Arial"/>
        </w:rPr>
        <w:footnoteReference w:id="9"/>
      </w:r>
      <w:r>
        <w:t>の問題に</w:t>
      </w:r>
      <w:r w:rsidR="009C38F9">
        <w:rPr>
          <w:rFonts w:hint="eastAsia"/>
        </w:rPr>
        <w:t>関係</w:t>
      </w:r>
      <w:r>
        <w:t>する。その他の違反は、法</w:t>
      </w:r>
      <w:r w:rsidR="009C38F9">
        <w:rPr>
          <w:rFonts w:hint="eastAsia"/>
        </w:rPr>
        <w:t>の前での平等な認識、</w:t>
      </w:r>
      <w:r>
        <w:t>自由と安全、拷問</w:t>
      </w:r>
      <w:r w:rsidR="00693FAA">
        <w:rPr>
          <w:rFonts w:hint="eastAsia"/>
        </w:rPr>
        <w:t>および</w:t>
      </w:r>
      <w:r>
        <w:t>残虐</w:t>
      </w:r>
      <w:r w:rsidR="00693FAA">
        <w:rPr>
          <w:rFonts w:hint="eastAsia"/>
        </w:rPr>
        <w:t>な</w:t>
      </w:r>
      <w:r>
        <w:t>、非人道的または品位を傷つける取り扱いまたは刑罰の禁止、</w:t>
      </w:r>
      <w:r w:rsidR="00693FAA">
        <w:rPr>
          <w:rFonts w:hint="eastAsia"/>
        </w:rPr>
        <w:t>個人をそのままの状態で保護すること、</w:t>
      </w:r>
      <w:r>
        <w:t>自立生活</w:t>
      </w:r>
      <w:r w:rsidR="00693FAA">
        <w:rPr>
          <w:rFonts w:hint="eastAsia"/>
        </w:rPr>
        <w:t>と地域社会へのインクルージョン、</w:t>
      </w:r>
      <w:r>
        <w:t>表現および意見</w:t>
      </w:r>
      <w:r w:rsidR="00693FAA">
        <w:rPr>
          <w:rFonts w:hint="eastAsia"/>
        </w:rPr>
        <w:t>の自由、情報への</w:t>
      </w:r>
      <w:r>
        <w:t>アクセス</w:t>
      </w:r>
      <w:r w:rsidR="00693FAA">
        <w:rPr>
          <w:rFonts w:hint="eastAsia"/>
        </w:rPr>
        <w:t>、</w:t>
      </w:r>
      <w:r>
        <w:t>健康、ハビリテーションとリハビリテーショ</w:t>
      </w:r>
      <w:r>
        <w:rPr>
          <w:rFonts w:hint="eastAsia"/>
        </w:rPr>
        <w:t>ン、</w:t>
      </w:r>
      <w:r w:rsidR="00693FAA">
        <w:rPr>
          <w:rFonts w:hint="eastAsia"/>
        </w:rPr>
        <w:t>労働と雇用</w:t>
      </w:r>
      <w:r>
        <w:rPr>
          <w:rFonts w:hint="eastAsia"/>
        </w:rPr>
        <w:t>に</w:t>
      </w:r>
      <w:r w:rsidR="00693FAA">
        <w:rPr>
          <w:rFonts w:hint="eastAsia"/>
        </w:rPr>
        <w:t>関するものであった</w:t>
      </w:r>
      <w:r>
        <w:rPr>
          <w:rFonts w:hint="eastAsia"/>
        </w:rPr>
        <w:t>。</w:t>
      </w:r>
    </w:p>
    <w:p w:rsidR="00F87D84" w:rsidRDefault="00F87D84" w:rsidP="0000597B">
      <w:pPr>
        <w:rPr>
          <w:b/>
          <w:bCs/>
        </w:rPr>
      </w:pPr>
    </w:p>
    <w:p w:rsidR="0000597B" w:rsidRPr="005B4D8C" w:rsidRDefault="00693FAA" w:rsidP="005B4D8C">
      <w:pPr>
        <w:pStyle w:val="a7"/>
        <w:numPr>
          <w:ilvl w:val="0"/>
          <w:numId w:val="2"/>
        </w:numPr>
        <w:ind w:leftChars="0"/>
        <w:rPr>
          <w:rFonts w:ascii="ＭＳ ゴシック" w:eastAsia="ＭＳ ゴシック" w:hAnsi="ＭＳ ゴシック"/>
          <w:b/>
          <w:bCs/>
        </w:rPr>
      </w:pPr>
      <w:r>
        <w:rPr>
          <w:rFonts w:ascii="ＭＳ ゴシック" w:eastAsia="ＭＳ ゴシック" w:hAnsi="ＭＳ ゴシック" w:hint="eastAsia"/>
          <w:b/>
          <w:bCs/>
        </w:rPr>
        <w:t>見解</w:t>
      </w:r>
      <w:r w:rsidR="0000597B" w:rsidRPr="005B4D8C">
        <w:rPr>
          <w:rFonts w:ascii="ＭＳ ゴシック" w:eastAsia="ＭＳ ゴシック" w:hAnsi="ＭＳ ゴシック"/>
          <w:b/>
          <w:bCs/>
        </w:rPr>
        <w:t>の</w:t>
      </w:r>
      <w:r w:rsidR="0022415F">
        <w:rPr>
          <w:rFonts w:ascii="ＭＳ ゴシック" w:eastAsia="ＭＳ ゴシック" w:hAnsi="ＭＳ ゴシック" w:hint="eastAsia"/>
          <w:b/>
          <w:bCs/>
        </w:rPr>
        <w:t>実行</w:t>
      </w:r>
      <w:r w:rsidR="0000597B" w:rsidRPr="005B4D8C">
        <w:rPr>
          <w:rFonts w:ascii="ＭＳ ゴシック" w:eastAsia="ＭＳ ゴシック" w:hAnsi="ＭＳ ゴシック"/>
          <w:b/>
          <w:bCs/>
        </w:rPr>
        <w:t>の</w:t>
      </w:r>
      <w:r>
        <w:rPr>
          <w:rFonts w:ascii="ＭＳ ゴシック" w:eastAsia="ＭＳ ゴシック" w:hAnsi="ＭＳ ゴシック" w:hint="eastAsia"/>
          <w:b/>
          <w:bCs/>
        </w:rPr>
        <w:t>ための</w:t>
      </w:r>
      <w:r w:rsidR="0000597B" w:rsidRPr="005B4D8C">
        <w:rPr>
          <w:rFonts w:ascii="ＭＳ ゴシック" w:eastAsia="ＭＳ ゴシック" w:hAnsi="ＭＳ ゴシック"/>
          <w:b/>
          <w:bCs/>
        </w:rPr>
        <w:t>フォローアップ</w:t>
      </w:r>
      <w:r>
        <w:rPr>
          <w:rFonts w:ascii="ＭＳ ゴシック" w:eastAsia="ＭＳ ゴシック" w:hAnsi="ＭＳ ゴシック" w:hint="eastAsia"/>
          <w:b/>
          <w:bCs/>
        </w:rPr>
        <w:t>手続き</w:t>
      </w:r>
    </w:p>
    <w:p w:rsidR="00F87D84" w:rsidRDefault="00F87D84" w:rsidP="0000597B"/>
    <w:p w:rsidR="0000597B" w:rsidRDefault="0000597B" w:rsidP="0000597B">
      <w:r>
        <w:t>12.</w:t>
      </w:r>
      <w:r w:rsidR="005B4D8C">
        <w:t xml:space="preserve"> </w:t>
      </w:r>
      <w:r>
        <w:t>委員会は、</w:t>
      </w:r>
      <w:r w:rsidR="00693FAA">
        <w:rPr>
          <w:rFonts w:hint="eastAsia"/>
        </w:rPr>
        <w:t>総括所見の</w:t>
      </w:r>
      <w:r>
        <w:t>フォローアップと同様に、</w:t>
      </w:r>
      <w:r w:rsidR="00693FAA">
        <w:rPr>
          <w:rFonts w:hint="eastAsia"/>
        </w:rPr>
        <w:t>個人通報</w:t>
      </w:r>
      <w:r>
        <w:t>に関する見解の実施をフォローアップする</w:t>
      </w:r>
      <w:r w:rsidR="00693FAA">
        <w:rPr>
          <w:rFonts w:hint="eastAsia"/>
        </w:rPr>
        <w:t>手続き</w:t>
      </w:r>
      <w:r>
        <w:t>を</w:t>
      </w:r>
      <w:r w:rsidR="00693FAA">
        <w:rPr>
          <w:rFonts w:hint="eastAsia"/>
        </w:rPr>
        <w:t>採択</w:t>
      </w:r>
      <w:r w:rsidR="003F6448">
        <w:t>した</w:t>
      </w:r>
      <w:r>
        <w:t>。2013年9月から2018年3月の間に、</w:t>
      </w:r>
      <w:r w:rsidR="00693FAA">
        <w:rPr>
          <w:rFonts w:hint="eastAsia"/>
        </w:rPr>
        <w:t>個人通報</w:t>
      </w:r>
      <w:r>
        <w:t>に関する見解のフォローアップに関する9つの中間報告書を採択し、その見解を実施するために締約国がとるべき措置を</w:t>
      </w:r>
      <w:r w:rsidR="0022415F">
        <w:rPr>
          <w:rFonts w:hint="eastAsia"/>
        </w:rPr>
        <w:t>指定</w:t>
      </w:r>
      <w:r w:rsidR="003F6448">
        <w:t>した</w:t>
      </w:r>
      <w:r w:rsidR="00450762" w:rsidRPr="005D59E2">
        <w:rPr>
          <w:rStyle w:val="ac"/>
          <w:rFonts w:cs="Arial"/>
        </w:rPr>
        <w:footnoteReference w:id="10"/>
      </w:r>
      <w:r>
        <w:t>。報告書は、</w:t>
      </w:r>
      <w:r w:rsidR="00693FAA">
        <w:rPr>
          <w:rFonts w:hint="eastAsia"/>
        </w:rPr>
        <w:t>国</w:t>
      </w:r>
      <w:r>
        <w:t>がとった措置を説明し、</w:t>
      </w:r>
      <w:r w:rsidR="00E1308B">
        <w:rPr>
          <w:rFonts w:hint="eastAsia"/>
        </w:rPr>
        <w:t>通報者の意見と</w:t>
      </w:r>
      <w:r>
        <w:t>フォローアップのための特別報告者からの</w:t>
      </w:r>
      <w:r w:rsidR="00E1308B">
        <w:rPr>
          <w:rFonts w:hint="eastAsia"/>
        </w:rPr>
        <w:t>勧告</w:t>
      </w:r>
      <w:r>
        <w:t>事項を含んで</w:t>
      </w:r>
      <w:r w:rsidR="003F6448">
        <w:t>いる</w:t>
      </w:r>
      <w:r>
        <w:t>。評価システムを使用して、</w:t>
      </w:r>
      <w:r w:rsidR="00E1308B">
        <w:rPr>
          <w:rFonts w:hint="eastAsia"/>
        </w:rPr>
        <w:t>当該</w:t>
      </w:r>
      <w:r>
        <w:t>国がとった措置の有効性を、満足（A）</w:t>
      </w:r>
      <w:r w:rsidR="00E1308B">
        <w:rPr>
          <w:rFonts w:hint="eastAsia"/>
        </w:rPr>
        <w:t>から</w:t>
      </w:r>
      <w:r>
        <w:t>、</w:t>
      </w:r>
      <w:r>
        <w:rPr>
          <w:rFonts w:hint="eastAsia"/>
        </w:rPr>
        <w:t>部分的に満足（</w:t>
      </w:r>
      <w:r>
        <w:t>B1、B2）、</w:t>
      </w:r>
      <w:r w:rsidR="00E1308B">
        <w:rPr>
          <w:rFonts w:hint="eastAsia"/>
        </w:rPr>
        <w:t>不</w:t>
      </w:r>
      <w:r>
        <w:t>満足（C1、C2）、委員会</w:t>
      </w:r>
      <w:r w:rsidR="00E1308B">
        <w:rPr>
          <w:rFonts w:hint="eastAsia"/>
        </w:rPr>
        <w:t>への</w:t>
      </w:r>
      <w:r>
        <w:t>協力なし（D1、D2）</w:t>
      </w:r>
      <w:r w:rsidR="00E1308B">
        <w:rPr>
          <w:rFonts w:hint="eastAsia"/>
        </w:rPr>
        <w:t>、</w:t>
      </w:r>
      <w:r>
        <w:t>委員会の勧告に</w:t>
      </w:r>
      <w:r w:rsidR="00E1308B">
        <w:rPr>
          <w:rFonts w:hint="eastAsia"/>
        </w:rPr>
        <w:t>正反対</w:t>
      </w:r>
      <w:r>
        <w:t>（E）</w:t>
      </w:r>
      <w:r w:rsidR="00E1308B">
        <w:rPr>
          <w:rFonts w:hint="eastAsia"/>
        </w:rPr>
        <w:t>の区分で決定する</w:t>
      </w:r>
      <w:r>
        <w:t>。</w:t>
      </w:r>
    </w:p>
    <w:p w:rsidR="00F87D84" w:rsidRDefault="00F87D84" w:rsidP="0000597B"/>
    <w:p w:rsidR="0000597B" w:rsidRDefault="0000597B" w:rsidP="0000597B">
      <w:r>
        <w:t>13.</w:t>
      </w:r>
      <w:r w:rsidR="005B4D8C">
        <w:t xml:space="preserve"> </w:t>
      </w:r>
      <w:r>
        <w:t>第19会期の終了時点で、委員会は、</w:t>
      </w:r>
      <w:r w:rsidR="00E0474D">
        <w:rPr>
          <w:rFonts w:hint="eastAsia"/>
        </w:rPr>
        <w:t>個人通報</w:t>
      </w:r>
      <w:r>
        <w:t>に関する9つの見解の実施をフォローアップしていた。</w:t>
      </w:r>
      <w:r w:rsidR="00E0474D">
        <w:rPr>
          <w:rFonts w:hint="eastAsia"/>
        </w:rPr>
        <w:t>個人通報</w:t>
      </w:r>
      <w:r>
        <w:t>に関する2つの見解のフォローアップを中止</w:t>
      </w:r>
      <w:r w:rsidR="003F6448">
        <w:t>した</w:t>
      </w:r>
      <w:r w:rsidR="00E0474D">
        <w:rPr>
          <w:rFonts w:hint="eastAsia"/>
        </w:rPr>
        <w:t>が、</w:t>
      </w:r>
      <w:r>
        <w:t>1つは国が満足な措置</w:t>
      </w:r>
      <w:r w:rsidR="00E0474D">
        <w:rPr>
          <w:rFonts w:hint="eastAsia"/>
        </w:rPr>
        <w:t>を講じ</w:t>
      </w:r>
      <w:r>
        <w:t>（</w:t>
      </w:r>
      <w:bookmarkStart w:id="1" w:name="_Hlk17741461"/>
      <w:r w:rsidR="00E0474D">
        <w:rPr>
          <w:rFonts w:hint="eastAsia"/>
        </w:rPr>
        <w:t>通報</w:t>
      </w:r>
      <w:bookmarkEnd w:id="1"/>
      <w:r>
        <w:t>08.2012）、もう1つは</w:t>
      </w:r>
      <w:r w:rsidR="00E0474D">
        <w:rPr>
          <w:rFonts w:hint="eastAsia"/>
        </w:rPr>
        <w:t>不満足な</w:t>
      </w:r>
      <w:r>
        <w:t>措置</w:t>
      </w:r>
      <w:r w:rsidR="00E0474D">
        <w:rPr>
          <w:rFonts w:hint="eastAsia"/>
        </w:rPr>
        <w:t>であった</w:t>
      </w:r>
      <w:r>
        <w:t>（</w:t>
      </w:r>
      <w:r w:rsidR="00E0474D" w:rsidRPr="00E0474D">
        <w:rPr>
          <w:rFonts w:hint="eastAsia"/>
        </w:rPr>
        <w:t>通報</w:t>
      </w:r>
      <w:r>
        <w:t>03.2011）。別のケースでは、委員会は</w:t>
      </w:r>
      <w:r w:rsidR="00E0474D">
        <w:rPr>
          <w:rFonts w:hint="eastAsia"/>
        </w:rPr>
        <w:t>個別の勧告</w:t>
      </w:r>
      <w:r>
        <w:t>に関するフォローアップを中止</w:t>
      </w:r>
      <w:r w:rsidR="003F6448">
        <w:t>した</w:t>
      </w:r>
      <w:r>
        <w:t>が、一般的な</w:t>
      </w:r>
      <w:r w:rsidR="00E0474D">
        <w:rPr>
          <w:rFonts w:hint="eastAsia"/>
        </w:rPr>
        <w:t>勧告のフォローアップは継続している</w:t>
      </w:r>
      <w:r>
        <w:t>（</w:t>
      </w:r>
      <w:r w:rsidR="00E0474D" w:rsidRPr="00E0474D">
        <w:rPr>
          <w:rFonts w:hint="eastAsia"/>
        </w:rPr>
        <w:t>通報</w:t>
      </w:r>
      <w:r>
        <w:t>02.2010）。</w:t>
      </w:r>
    </w:p>
    <w:p w:rsidR="00F87D84" w:rsidRDefault="00F87D84" w:rsidP="0000597B">
      <w:pPr>
        <w:rPr>
          <w:b/>
          <w:bCs/>
        </w:rPr>
      </w:pPr>
    </w:p>
    <w:p w:rsidR="0000597B" w:rsidRPr="005B4D8C" w:rsidRDefault="00313D5C" w:rsidP="005B4D8C">
      <w:pPr>
        <w:pStyle w:val="a7"/>
        <w:numPr>
          <w:ilvl w:val="0"/>
          <w:numId w:val="2"/>
        </w:numPr>
        <w:ind w:leftChars="0"/>
        <w:rPr>
          <w:rFonts w:ascii="ＭＳ ゴシック" w:eastAsia="ＭＳ ゴシック" w:hAnsi="ＭＳ ゴシック"/>
          <w:b/>
          <w:bCs/>
        </w:rPr>
      </w:pPr>
      <w:r>
        <w:rPr>
          <w:rFonts w:ascii="ＭＳ ゴシック" w:eastAsia="ＭＳ ゴシック" w:hAnsi="ＭＳ ゴシック" w:hint="eastAsia"/>
          <w:b/>
          <w:bCs/>
        </w:rPr>
        <w:t>調査</w:t>
      </w:r>
      <w:r w:rsidR="0022415F">
        <w:rPr>
          <w:rFonts w:ascii="ＭＳ ゴシック" w:eastAsia="ＭＳ ゴシック" w:hAnsi="ＭＳ ゴシック" w:hint="eastAsia"/>
          <w:b/>
          <w:bCs/>
        </w:rPr>
        <w:t>の</w:t>
      </w:r>
      <w:r>
        <w:rPr>
          <w:rFonts w:ascii="ＭＳ ゴシック" w:eastAsia="ＭＳ ゴシック" w:hAnsi="ＭＳ ゴシック" w:hint="eastAsia"/>
          <w:b/>
          <w:bCs/>
        </w:rPr>
        <w:t>手続き</w:t>
      </w:r>
    </w:p>
    <w:p w:rsidR="00F87D84" w:rsidRDefault="00F87D84" w:rsidP="0000597B"/>
    <w:p w:rsidR="00512B9A" w:rsidRDefault="0000597B" w:rsidP="00512B9A">
      <w:r w:rsidRPr="00512B9A">
        <w:t>14.</w:t>
      </w:r>
      <w:r w:rsidR="005B4D8C" w:rsidRPr="00512B9A">
        <w:t xml:space="preserve"> </w:t>
      </w:r>
      <w:r w:rsidRPr="00512B9A">
        <w:t>選択議定書の下で</w:t>
      </w:r>
      <w:r>
        <w:t>委員会は</w:t>
      </w:r>
      <w:r w:rsidR="0022415F">
        <w:rPr>
          <w:rFonts w:hint="eastAsia"/>
        </w:rPr>
        <w:t>また</w:t>
      </w:r>
      <w:r>
        <w:t>、「監視</w:t>
      </w:r>
      <w:r w:rsidR="0022415F">
        <w:rPr>
          <w:rFonts w:hint="eastAsia"/>
        </w:rPr>
        <w:t>している</w:t>
      </w:r>
      <w:r>
        <w:t>条約に</w:t>
      </w:r>
      <w:r w:rsidR="00512B9A">
        <w:rPr>
          <w:rFonts w:hint="eastAsia"/>
        </w:rPr>
        <w:t>定める</w:t>
      </w:r>
      <w:r>
        <w:t>権利が国家によって体系的に侵害されていることを示す信頼できる情報</w:t>
      </w:r>
      <w:r w:rsidR="00512B9A">
        <w:rPr>
          <w:rFonts w:hint="eastAsia"/>
        </w:rPr>
        <w:t>」を受領した</w:t>
      </w:r>
      <w:r>
        <w:t>場合</w:t>
      </w:r>
      <w:r w:rsidR="00512B9A">
        <w:rPr>
          <w:rFonts w:hint="eastAsia"/>
        </w:rPr>
        <w:t>には</w:t>
      </w:r>
      <w:r>
        <w:t>、選択議定書を批准した締約国に関する</w:t>
      </w:r>
      <w:r w:rsidR="00512B9A">
        <w:rPr>
          <w:rFonts w:hint="eastAsia"/>
        </w:rPr>
        <w:t>調査</w:t>
      </w:r>
      <w:r w:rsidR="00465E47">
        <w:rPr>
          <w:rFonts w:hint="eastAsia"/>
        </w:rPr>
        <w:t>（i</w:t>
      </w:r>
      <w:r w:rsidR="00465E47">
        <w:t>nquiry</w:t>
      </w:r>
      <w:r w:rsidR="00465E47">
        <w:rPr>
          <w:rFonts w:hint="eastAsia"/>
        </w:rPr>
        <w:t>）</w:t>
      </w:r>
      <w:r w:rsidR="00512B9A">
        <w:rPr>
          <w:rFonts w:hint="eastAsia"/>
        </w:rPr>
        <w:t>を</w:t>
      </w:r>
      <w:r>
        <w:t>行うこと</w:t>
      </w:r>
      <w:r w:rsidR="0022415F">
        <w:rPr>
          <w:rFonts w:hint="eastAsia"/>
        </w:rPr>
        <w:t>が</w:t>
      </w:r>
      <w:r w:rsidR="003F6448">
        <w:t>できる</w:t>
      </w:r>
      <w:r w:rsidR="00450762">
        <w:rPr>
          <w:rStyle w:val="ac"/>
          <w:rFonts w:cs="Arial"/>
        </w:rPr>
        <w:footnoteReference w:id="11"/>
      </w:r>
      <w:r>
        <w:t>。</w:t>
      </w:r>
    </w:p>
    <w:p w:rsidR="00F87D84" w:rsidRDefault="00F87D84" w:rsidP="0000597B"/>
    <w:p w:rsidR="0000597B" w:rsidRDefault="0000597B" w:rsidP="0000597B">
      <w:r>
        <w:t xml:space="preserve">15. </w:t>
      </w:r>
      <w:r w:rsidR="005B4D8C">
        <w:t xml:space="preserve"> </w:t>
      </w:r>
      <w:r>
        <w:t>2018年7月</w:t>
      </w:r>
      <w:r w:rsidR="00512B9A">
        <w:rPr>
          <w:rFonts w:hint="eastAsia"/>
        </w:rPr>
        <w:t>までに</w:t>
      </w:r>
      <w:r>
        <w:t>委員会は2つの</w:t>
      </w:r>
      <w:r w:rsidR="00512B9A">
        <w:rPr>
          <w:rFonts w:hint="eastAsia"/>
        </w:rPr>
        <w:t>調査を行った。</w:t>
      </w:r>
      <w:r>
        <w:t>2016年9月</w:t>
      </w:r>
      <w:r w:rsidR="00512B9A">
        <w:rPr>
          <w:rFonts w:hint="eastAsia"/>
        </w:rPr>
        <w:t>の第</w:t>
      </w:r>
      <w:r>
        <w:t>16</w:t>
      </w:r>
      <w:r w:rsidR="00512B9A">
        <w:rPr>
          <w:rFonts w:hint="eastAsia"/>
        </w:rPr>
        <w:t>会期に</w:t>
      </w:r>
      <w:r>
        <w:t>委員会は、CRPD第19、27、28条の違反の疑いに関する英国に対する調査に関する報告書（CRPD/C/15/4）を採択</w:t>
      </w:r>
      <w:r w:rsidR="003F6448">
        <w:t>した</w:t>
      </w:r>
      <w:r>
        <w:t>。</w:t>
      </w:r>
      <w:r w:rsidRPr="00465E47">
        <w:t>それは社</w:t>
      </w:r>
      <w:r>
        <w:t>会福祉改革が</w:t>
      </w:r>
      <w:r w:rsidR="00465E47">
        <w:rPr>
          <w:rFonts w:hint="eastAsia"/>
        </w:rPr>
        <w:t>、</w:t>
      </w:r>
      <w:r w:rsidR="00274DCA">
        <w:t>障害のある人</w:t>
      </w:r>
      <w:r w:rsidR="00465E47">
        <w:rPr>
          <w:rFonts w:hint="eastAsia"/>
        </w:rPr>
        <w:t>の</w:t>
      </w:r>
      <w:r>
        <w:t>自立生活</w:t>
      </w:r>
      <w:r w:rsidR="00274DCA">
        <w:rPr>
          <w:rFonts w:hint="eastAsia"/>
        </w:rPr>
        <w:t>と地域社会へのインクルージョンの</w:t>
      </w:r>
      <w:r w:rsidR="00465E47">
        <w:rPr>
          <w:rFonts w:hint="eastAsia"/>
        </w:rPr>
        <w:t>権利</w:t>
      </w:r>
      <w:r>
        <w:t>、</w:t>
      </w:r>
      <w:r w:rsidR="00465E47">
        <w:rPr>
          <w:rFonts w:hint="eastAsia"/>
        </w:rPr>
        <w:t>相当な</w:t>
      </w:r>
      <w:r>
        <w:t>生活水準と社会的</w:t>
      </w:r>
      <w:r w:rsidR="00274DCA">
        <w:rPr>
          <w:rFonts w:hint="eastAsia"/>
        </w:rPr>
        <w:t>保障</w:t>
      </w:r>
      <w:r w:rsidR="00465E47">
        <w:rPr>
          <w:rFonts w:hint="eastAsia"/>
        </w:rPr>
        <w:t>の権利</w:t>
      </w:r>
      <w:r>
        <w:t>、そして労働と雇用の権利に与えるマイナスの影響</w:t>
      </w:r>
      <w:r w:rsidR="00465E47">
        <w:rPr>
          <w:rFonts w:hint="eastAsia"/>
        </w:rPr>
        <w:t>の訴え</w:t>
      </w:r>
      <w:r>
        <w:t>に関するもの</w:t>
      </w:r>
      <w:r w:rsidR="003F6448">
        <w:t>である</w:t>
      </w:r>
      <w:r>
        <w:t>。2018年3月</w:t>
      </w:r>
      <w:r w:rsidR="00465E47">
        <w:rPr>
          <w:rFonts w:hint="eastAsia"/>
        </w:rPr>
        <w:t>の</w:t>
      </w:r>
      <w:r>
        <w:t>19</w:t>
      </w:r>
      <w:r w:rsidR="00465E47">
        <w:rPr>
          <w:rFonts w:hint="eastAsia"/>
        </w:rPr>
        <w:t>会期には</w:t>
      </w:r>
      <w:r>
        <w:t>、</w:t>
      </w:r>
      <w:r w:rsidR="00465E47">
        <w:rPr>
          <w:rFonts w:hint="eastAsia"/>
        </w:rPr>
        <w:t>スペインに対する調査に関する報告書（</w:t>
      </w:r>
      <w:r w:rsidR="00465E47">
        <w:t>CRPD/C/18/R.2）を採択した。</w:t>
      </w:r>
      <w:r w:rsidR="00C35F06">
        <w:rPr>
          <w:rFonts w:hint="eastAsia"/>
        </w:rPr>
        <w:t>これは</w:t>
      </w:r>
      <w:r w:rsidR="00C35F06">
        <w:t>障害に基づ</w:t>
      </w:r>
      <w:r w:rsidR="00C35F06">
        <w:rPr>
          <w:rFonts w:hint="eastAsia"/>
        </w:rPr>
        <w:t>く、</w:t>
      </w:r>
      <w:r w:rsidR="00C35F06">
        <w:t>主流の教育システム</w:t>
      </w:r>
      <w:r w:rsidR="00C35F06">
        <w:rPr>
          <w:rFonts w:hint="eastAsia"/>
        </w:rPr>
        <w:t>からの</w:t>
      </w:r>
      <w:r w:rsidR="00274DCA">
        <w:t>障害のある人</w:t>
      </w:r>
      <w:r>
        <w:t>の構造的排除と隔離の</w:t>
      </w:r>
      <w:r w:rsidR="00C35F06">
        <w:rPr>
          <w:rFonts w:hint="eastAsia"/>
        </w:rPr>
        <w:t>訴え（</w:t>
      </w:r>
      <w:r>
        <w:t>条約第24条違反の疑い</w:t>
      </w:r>
      <w:r w:rsidR="00C35F06">
        <w:rPr>
          <w:rFonts w:hint="eastAsia"/>
        </w:rPr>
        <w:t>）</w:t>
      </w:r>
      <w:r>
        <w:t>に関する</w:t>
      </w:r>
      <w:r w:rsidR="00C35F06">
        <w:rPr>
          <w:rFonts w:hint="eastAsia"/>
        </w:rPr>
        <w:t>調査である</w:t>
      </w:r>
      <w:r>
        <w:t>。両方の報告で、委員会は両締約国の条約違反を発見した。</w:t>
      </w:r>
    </w:p>
    <w:p w:rsidR="0000597B" w:rsidRDefault="0000597B" w:rsidP="0000597B"/>
    <w:p w:rsidR="0000597B" w:rsidRPr="00FF6309" w:rsidRDefault="0000597B" w:rsidP="0000597B">
      <w:pPr>
        <w:rPr>
          <w:rFonts w:ascii="ＭＳ ゴシック" w:eastAsia="ＭＳ ゴシック" w:hAnsi="ＭＳ ゴシック"/>
          <w:b/>
          <w:bCs/>
        </w:rPr>
      </w:pPr>
      <w:r w:rsidRPr="00FF6309">
        <w:rPr>
          <w:rFonts w:ascii="ＭＳ ゴシック" w:eastAsia="ＭＳ ゴシック" w:hAnsi="ＭＳ ゴシック"/>
          <w:b/>
          <w:bCs/>
        </w:rPr>
        <w:t>IV</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委員会の意見、勧告、</w:t>
      </w:r>
      <w:r w:rsidR="00C35F06">
        <w:rPr>
          <w:rFonts w:ascii="ＭＳ ゴシック" w:eastAsia="ＭＳ ゴシック" w:hAnsi="ＭＳ ゴシック" w:hint="eastAsia"/>
          <w:b/>
          <w:bCs/>
        </w:rPr>
        <w:t>見解</w:t>
      </w:r>
      <w:r w:rsidRPr="00FF6309">
        <w:rPr>
          <w:rFonts w:ascii="ＭＳ ゴシック" w:eastAsia="ＭＳ ゴシック" w:hAnsi="ＭＳ ゴシック"/>
          <w:b/>
          <w:bCs/>
        </w:rPr>
        <w:t>の概要</w:t>
      </w:r>
    </w:p>
    <w:p w:rsidR="00F87D84" w:rsidRPr="00FF6309" w:rsidRDefault="00F87D84" w:rsidP="0000597B">
      <w:pPr>
        <w:rPr>
          <w:rFonts w:ascii="ＭＳ ゴシック" w:eastAsia="ＭＳ ゴシック" w:hAnsi="ＭＳ ゴシック"/>
          <w:b/>
          <w:bCs/>
        </w:rPr>
      </w:pPr>
    </w:p>
    <w:p w:rsidR="0000597B" w:rsidRPr="005B4D8C" w:rsidRDefault="0000597B" w:rsidP="005B4D8C">
      <w:pPr>
        <w:pStyle w:val="a7"/>
        <w:numPr>
          <w:ilvl w:val="0"/>
          <w:numId w:val="3"/>
        </w:numPr>
        <w:ind w:leftChars="0"/>
        <w:rPr>
          <w:rFonts w:ascii="ＭＳ ゴシック" w:eastAsia="ＭＳ ゴシック" w:hAnsi="ＭＳ ゴシック"/>
          <w:b/>
          <w:bCs/>
        </w:rPr>
      </w:pPr>
      <w:r w:rsidRPr="005B4D8C">
        <w:rPr>
          <w:rFonts w:ascii="ＭＳ ゴシック" w:eastAsia="ＭＳ ゴシック" w:hAnsi="ＭＳ ゴシック"/>
          <w:b/>
          <w:bCs/>
        </w:rPr>
        <w:t>障害者の権利</w:t>
      </w:r>
      <w:r w:rsidR="0022415F">
        <w:rPr>
          <w:rFonts w:ascii="ＭＳ ゴシック" w:eastAsia="ＭＳ ゴシック" w:hAnsi="ＭＳ ゴシック" w:hint="eastAsia"/>
          <w:b/>
          <w:bCs/>
        </w:rPr>
        <w:t>の</w:t>
      </w:r>
      <w:r w:rsidRPr="005B4D8C">
        <w:rPr>
          <w:rFonts w:ascii="ＭＳ ゴシック" w:eastAsia="ＭＳ ゴシック" w:hAnsi="ＭＳ ゴシック"/>
          <w:b/>
          <w:bCs/>
        </w:rPr>
        <w:t>理解</w:t>
      </w:r>
    </w:p>
    <w:p w:rsidR="00F87D84" w:rsidRPr="00FF6309" w:rsidRDefault="00F87D84" w:rsidP="0000597B">
      <w:pPr>
        <w:rPr>
          <w:rFonts w:ascii="ＭＳ ゴシック" w:eastAsia="ＭＳ ゴシック" w:hAnsi="ＭＳ ゴシック"/>
          <w:b/>
          <w:bCs/>
        </w:rPr>
      </w:pPr>
    </w:p>
    <w:p w:rsidR="0000597B" w:rsidRPr="00FF6309" w:rsidRDefault="00FF6309" w:rsidP="0000597B">
      <w:pPr>
        <w:rPr>
          <w:rFonts w:ascii="ＭＳ ゴシック" w:eastAsia="ＭＳ ゴシック" w:hAnsi="ＭＳ ゴシック"/>
          <w:b/>
          <w:bCs/>
        </w:rPr>
      </w:pPr>
      <w:r>
        <w:rPr>
          <w:rFonts w:ascii="ＭＳ ゴシック" w:eastAsia="ＭＳ ゴシック" w:hAnsi="ＭＳ ゴシック" w:hint="eastAsia"/>
          <w:b/>
          <w:bCs/>
        </w:rPr>
        <w:t>i</w:t>
      </w:r>
      <w:r w:rsidR="00720EAA" w:rsidRPr="00FF6309">
        <w:rPr>
          <w:rFonts w:ascii="ＭＳ ゴシック" w:eastAsia="ＭＳ ゴシック" w:hAnsi="ＭＳ ゴシック" w:hint="eastAsia"/>
          <w:b/>
          <w:bCs/>
        </w:rPr>
        <w:t>.</w:t>
      </w:r>
      <w:r w:rsidR="005B4D8C">
        <w:rPr>
          <w:rFonts w:ascii="ＭＳ ゴシック" w:eastAsia="ＭＳ ゴシック" w:hAnsi="ＭＳ ゴシック"/>
          <w:b/>
          <w:bCs/>
        </w:rPr>
        <w:t xml:space="preserve"> </w:t>
      </w:r>
      <w:r w:rsidR="0000597B" w:rsidRPr="00FF6309">
        <w:rPr>
          <w:rFonts w:ascii="ＭＳ ゴシック" w:eastAsia="ＭＳ ゴシック" w:hAnsi="ＭＳ ゴシック" w:hint="eastAsia"/>
          <w:b/>
          <w:bCs/>
        </w:rPr>
        <w:t>障害の新しい理解：障害の人権モデル</w:t>
      </w:r>
    </w:p>
    <w:p w:rsidR="00F87D84" w:rsidRDefault="00F87D84" w:rsidP="0000597B"/>
    <w:p w:rsidR="0000597B" w:rsidRDefault="0000597B" w:rsidP="0000597B">
      <w:r>
        <w:t>16.</w:t>
      </w:r>
      <w:r w:rsidR="005B4D8C">
        <w:t xml:space="preserve"> </w:t>
      </w:r>
      <w:r>
        <w:t>障害者権利条約は</w:t>
      </w:r>
      <w:r w:rsidR="0022415F">
        <w:rPr>
          <w:rFonts w:hint="eastAsia"/>
        </w:rPr>
        <w:t>、</w:t>
      </w:r>
      <w:r w:rsidR="0022415F">
        <w:t>障害の</w:t>
      </w:r>
      <w:r w:rsidR="0022415F">
        <w:rPr>
          <w:rFonts w:hint="eastAsia"/>
        </w:rPr>
        <w:t>医学（医療）モデル</w:t>
      </w:r>
      <w:r w:rsidR="0022415F">
        <w:t>および慈善モデルから障害の人権モデル</w:t>
      </w:r>
      <w:r w:rsidR="0022415F">
        <w:rPr>
          <w:rFonts w:hint="eastAsia"/>
        </w:rPr>
        <w:t>への</w:t>
      </w:r>
      <w:r w:rsidR="0022415F">
        <w:t>障害の理解の</w:t>
      </w:r>
      <w:r w:rsidR="0022415F">
        <w:rPr>
          <w:rFonts w:hint="eastAsia"/>
        </w:rPr>
        <w:t>移行を</w:t>
      </w:r>
      <w:r w:rsidR="0022415F">
        <w:t>反映している。</w:t>
      </w:r>
      <w:r w:rsidR="0022415F">
        <w:rPr>
          <w:rFonts w:hint="eastAsia"/>
        </w:rPr>
        <w:t>前者は、</w:t>
      </w:r>
      <w:r>
        <w:t>社会的排除の原因として個人の</w:t>
      </w:r>
      <w:r w:rsidR="00C35F06">
        <w:rPr>
          <w:rFonts w:hint="eastAsia"/>
        </w:rPr>
        <w:t>機能</w:t>
      </w:r>
      <w:r>
        <w:t>障害</w:t>
      </w:r>
      <w:r w:rsidR="00FA5834">
        <w:rPr>
          <w:rFonts w:hint="eastAsia"/>
        </w:rPr>
        <w:t>に</w:t>
      </w:r>
      <w:r w:rsidR="00FA5834">
        <w:t>焦点を当て</w:t>
      </w:r>
      <w:r w:rsidR="00FA5834">
        <w:rPr>
          <w:rFonts w:hint="eastAsia"/>
        </w:rPr>
        <w:t>、</w:t>
      </w:r>
      <w:r w:rsidR="00FA5834">
        <w:t>障害者</w:t>
      </w:r>
      <w:r w:rsidR="00FA5834">
        <w:rPr>
          <w:rFonts w:hint="eastAsia"/>
        </w:rPr>
        <w:t>を</w:t>
      </w:r>
      <w:r>
        <w:t>「保護」の対象と</w:t>
      </w:r>
      <w:r w:rsidR="00FA5834">
        <w:rPr>
          <w:rFonts w:hint="eastAsia"/>
        </w:rPr>
        <w:t>見</w:t>
      </w:r>
      <w:r w:rsidR="0022415F">
        <w:rPr>
          <w:rFonts w:hint="eastAsia"/>
        </w:rPr>
        <w:t>てきた。</w:t>
      </w:r>
      <w:r>
        <w:t>条約</w:t>
      </w:r>
      <w:r w:rsidR="009541C7">
        <w:rPr>
          <w:rFonts w:hint="eastAsia"/>
        </w:rPr>
        <w:t>の</w:t>
      </w:r>
      <w:r w:rsidR="009541C7">
        <w:t>前文</w:t>
      </w:r>
      <w:r w:rsidR="00450762">
        <w:rPr>
          <w:rStyle w:val="ac"/>
          <w:rFonts w:cs="Arial"/>
        </w:rPr>
        <w:footnoteReference w:id="12"/>
      </w:r>
      <w:r w:rsidR="009541C7">
        <w:t>と</w:t>
      </w:r>
      <w:r>
        <w:t>第1条</w:t>
      </w:r>
      <w:r w:rsidR="00450762">
        <w:rPr>
          <w:rStyle w:val="ac"/>
          <w:rFonts w:cs="Arial"/>
        </w:rPr>
        <w:footnoteReference w:id="13"/>
      </w:r>
      <w:r>
        <w:t>の障害者の定義は、障害が社会</w:t>
      </w:r>
      <w:r w:rsidR="009541C7">
        <w:rPr>
          <w:rFonts w:hint="eastAsia"/>
        </w:rPr>
        <w:t>的に構築されたものであり</w:t>
      </w:r>
      <w:r>
        <w:t>、障害者を排除するのは個人の</w:t>
      </w:r>
      <w:r w:rsidR="009541C7">
        <w:rPr>
          <w:rFonts w:hint="eastAsia"/>
        </w:rPr>
        <w:t>機能</w:t>
      </w:r>
      <w:r>
        <w:t>障害ではなく社会内の障壁であるという</w:t>
      </w:r>
      <w:r w:rsidR="009541C7">
        <w:rPr>
          <w:rFonts w:hint="eastAsia"/>
        </w:rPr>
        <w:t>、</w:t>
      </w:r>
      <w:r>
        <w:t>この新しい理解を反映している。</w:t>
      </w:r>
    </w:p>
    <w:p w:rsidR="00F87D84" w:rsidRDefault="00F87D84" w:rsidP="0000597B"/>
    <w:p w:rsidR="00F87D84" w:rsidRDefault="0000597B" w:rsidP="0000597B">
      <w:r>
        <w:t>17.</w:t>
      </w:r>
      <w:r w:rsidR="005B4D8C">
        <w:t xml:space="preserve"> </w:t>
      </w:r>
      <w:r>
        <w:t>障害者権利委員会は、この新たな理解の重要性を支持し強調した。委員会は最初の声明で、障害の</w:t>
      </w:r>
      <w:r w:rsidR="009541C7">
        <w:rPr>
          <w:rFonts w:hint="eastAsia"/>
        </w:rPr>
        <w:t>医学</w:t>
      </w:r>
      <w:r>
        <w:t>モデルから人権モデルへの即時移行の重要性を強調した</w:t>
      </w:r>
      <w:r w:rsidR="00450762" w:rsidRPr="00F000F1">
        <w:rPr>
          <w:rStyle w:val="ac"/>
          <w:rFonts w:cs="Arial"/>
        </w:rPr>
        <w:footnoteReference w:id="14"/>
      </w:r>
      <w:r>
        <w:t>。委員会は、いくつかの機会に、障害の人権モデルを理解</w:t>
      </w:r>
      <w:r w:rsidR="001443F8">
        <w:rPr>
          <w:rFonts w:hint="eastAsia"/>
        </w:rPr>
        <w:t>し</w:t>
      </w:r>
      <w:r>
        <w:t>実施できなかったことが、社会における</w:t>
      </w:r>
      <w:r w:rsidR="00274DCA">
        <w:t>障害のある人</w:t>
      </w:r>
      <w:r>
        <w:t>の排除の主な原因であると指摘した。例えば、これは、</w:t>
      </w:r>
      <w:r w:rsidR="00274DCA">
        <w:t>障害のある人</w:t>
      </w:r>
      <w:r>
        <w:t>のインクルーシブ教育へのアクセス</w:t>
      </w:r>
      <w:r w:rsidR="001443F8">
        <w:rPr>
          <w:rFonts w:hint="eastAsia"/>
        </w:rPr>
        <w:t>についての</w:t>
      </w:r>
      <w:r w:rsidR="001443F8">
        <w:t>締約国</w:t>
      </w:r>
      <w:r w:rsidR="001443F8">
        <w:rPr>
          <w:rFonts w:hint="eastAsia"/>
        </w:rPr>
        <w:t>の</w:t>
      </w:r>
      <w:r>
        <w:t>困難に</w:t>
      </w:r>
      <w:r w:rsidR="001443F8">
        <w:rPr>
          <w:rFonts w:hint="eastAsia"/>
        </w:rPr>
        <w:t>表れている</w:t>
      </w:r>
      <w:r w:rsidR="00450762" w:rsidRPr="00566DFA">
        <w:rPr>
          <w:rStyle w:val="ac"/>
          <w:rFonts w:cs="Arial"/>
        </w:rPr>
        <w:footnoteReference w:id="15"/>
      </w:r>
      <w:r w:rsidR="001443F8">
        <w:rPr>
          <w:rFonts w:hint="eastAsia"/>
        </w:rPr>
        <w:t>。インクルーシブ</w:t>
      </w:r>
      <w:r>
        <w:t>教育の権利に関する一般的意見第4号（2016年）（CRPD/C/GC/4）において、委員会</w:t>
      </w:r>
      <w:r>
        <w:rPr>
          <w:rFonts w:hint="eastAsia"/>
        </w:rPr>
        <w:t>は、締約国が障害の人権モデルを採用し</w:t>
      </w:r>
      <w:r w:rsidR="00450762" w:rsidRPr="00F000F1">
        <w:rPr>
          <w:rStyle w:val="ac"/>
          <w:rFonts w:cs="Arial"/>
        </w:rPr>
        <w:footnoteReference w:id="16"/>
      </w:r>
      <w:r>
        <w:rPr>
          <w:rFonts w:hint="eastAsia"/>
        </w:rPr>
        <w:t>、人権に基づいた法律を導入</w:t>
      </w:r>
      <w:r w:rsidR="001443F8">
        <w:rPr>
          <w:rFonts w:hint="eastAsia"/>
        </w:rPr>
        <w:t>、</w:t>
      </w:r>
      <w:r>
        <w:rPr>
          <w:rFonts w:hint="eastAsia"/>
        </w:rPr>
        <w:t>実施</w:t>
      </w:r>
      <w:r w:rsidR="001443F8">
        <w:rPr>
          <w:rFonts w:hint="eastAsia"/>
        </w:rPr>
        <w:t>し</w:t>
      </w:r>
      <w:r w:rsidR="00BA7983" w:rsidRPr="00F000F1">
        <w:rPr>
          <w:rStyle w:val="ac"/>
          <w:rFonts w:cs="Arial"/>
        </w:rPr>
        <w:footnoteReference w:id="17"/>
      </w:r>
      <w:r w:rsidR="001443F8">
        <w:rPr>
          <w:rFonts w:hint="eastAsia"/>
        </w:rPr>
        <w:t>、障害の人権モデルに基づいた訓練を実施</w:t>
      </w:r>
      <w:r>
        <w:rPr>
          <w:rFonts w:hint="eastAsia"/>
        </w:rPr>
        <w:t>すべき</w:t>
      </w:r>
      <w:r w:rsidR="001443F8">
        <w:rPr>
          <w:rFonts w:hint="eastAsia"/>
        </w:rPr>
        <w:t>である</w:t>
      </w:r>
      <w:r w:rsidR="00BA7983" w:rsidRPr="00F000F1">
        <w:rPr>
          <w:rStyle w:val="ac"/>
          <w:rFonts w:cs="Arial"/>
        </w:rPr>
        <w:footnoteReference w:id="18"/>
      </w:r>
      <w:r w:rsidR="001443F8">
        <w:rPr>
          <w:rFonts w:hint="eastAsia"/>
        </w:rPr>
        <w:t>と</w:t>
      </w:r>
      <w:r>
        <w:rPr>
          <w:rFonts w:hint="eastAsia"/>
        </w:rPr>
        <w:t>強調した</w:t>
      </w:r>
      <w:r w:rsidR="001443F8">
        <w:rPr>
          <w:rFonts w:hint="eastAsia"/>
        </w:rPr>
        <w:t>。</w:t>
      </w:r>
    </w:p>
    <w:p w:rsidR="001443F8" w:rsidRDefault="001443F8" w:rsidP="0000597B"/>
    <w:p w:rsidR="0000597B" w:rsidRDefault="0000597B" w:rsidP="0000597B">
      <w:r>
        <w:t>18.</w:t>
      </w:r>
      <w:r w:rsidR="005B4D8C">
        <w:t xml:space="preserve"> </w:t>
      </w:r>
      <w:r w:rsidR="00B82ED5">
        <w:rPr>
          <w:rFonts w:hint="eastAsia"/>
        </w:rPr>
        <w:t>時の経過とともに</w:t>
      </w:r>
      <w:r>
        <w:t>委員会は、締約国が障害の人権モデルをどのように理解し、実施</w:t>
      </w:r>
      <w:r w:rsidR="00B82ED5">
        <w:rPr>
          <w:rFonts w:hint="eastAsia"/>
        </w:rPr>
        <w:t>すべきか</w:t>
      </w:r>
      <w:r>
        <w:t>について具体的</w:t>
      </w:r>
      <w:r w:rsidR="00B82ED5">
        <w:rPr>
          <w:rFonts w:hint="eastAsia"/>
        </w:rPr>
        <w:t>に</w:t>
      </w:r>
      <w:r>
        <w:t>明確</w:t>
      </w:r>
      <w:r w:rsidR="00B82ED5">
        <w:rPr>
          <w:rFonts w:hint="eastAsia"/>
        </w:rPr>
        <w:t>にしてきた。</w:t>
      </w:r>
      <w:r>
        <w:t>自立生活と</w:t>
      </w:r>
      <w:r w:rsidR="00B82ED5">
        <w:rPr>
          <w:rFonts w:hint="eastAsia"/>
        </w:rPr>
        <w:t>地域社会へのインクルージョン</w:t>
      </w:r>
      <w:r>
        <w:t>に関する</w:t>
      </w:r>
      <w:r w:rsidR="00B61E9E">
        <w:t>一般的意見</w:t>
      </w:r>
      <w:r>
        <w:t>No. 5（CRPD/C/GC/5）で、障害の人権モデルは「</w:t>
      </w:r>
      <w:r w:rsidR="00B82ED5">
        <w:rPr>
          <w:rFonts w:hint="eastAsia"/>
        </w:rPr>
        <w:t>必要な支援サービスの種類や量を含め、いかなる理由にせよ</w:t>
      </w:r>
      <w:r w:rsidR="00274DCA">
        <w:t>障害のある人</w:t>
      </w:r>
      <w:r>
        <w:t>を[社会から]排除することを許</w:t>
      </w:r>
      <w:r w:rsidR="00B82ED5">
        <w:rPr>
          <w:rFonts w:hint="eastAsia"/>
        </w:rPr>
        <w:t>さない</w:t>
      </w:r>
      <w:r>
        <w:t>。</w:t>
      </w:r>
      <w:r w:rsidR="00B82ED5">
        <w:rPr>
          <w:rFonts w:hint="eastAsia"/>
        </w:rPr>
        <w:t>」と強調した</w:t>
      </w:r>
      <w:r w:rsidR="00BA7983" w:rsidRPr="00F000F1">
        <w:rPr>
          <w:rStyle w:val="ac"/>
          <w:rFonts w:cs="Arial"/>
        </w:rPr>
        <w:footnoteReference w:id="19"/>
      </w:r>
      <w:r w:rsidR="00B82ED5">
        <w:rPr>
          <w:rFonts w:hint="eastAsia"/>
        </w:rPr>
        <w:t>。</w:t>
      </w:r>
      <w:r>
        <w:t>平等と</w:t>
      </w:r>
      <w:r w:rsidR="00650930">
        <w:t>無差別</w:t>
      </w:r>
      <w:r>
        <w:t>に関する</w:t>
      </w:r>
      <w:r w:rsidR="00B61E9E">
        <w:t>一般的意見</w:t>
      </w:r>
      <w:r>
        <w:t>No. 6（CRPD/C/GC/6）で委員会は、</w:t>
      </w:r>
      <w:r w:rsidR="00206C26">
        <w:rPr>
          <w:rFonts w:hint="eastAsia"/>
        </w:rPr>
        <w:t>通報</w:t>
      </w:r>
      <w:r>
        <w:t>SC</w:t>
      </w:r>
      <w:r w:rsidR="00274DCA">
        <w:rPr>
          <w:rFonts w:hint="eastAsia"/>
        </w:rPr>
        <w:t>対</w:t>
      </w:r>
      <w:r>
        <w:t>ブラジル</w:t>
      </w:r>
      <w:r w:rsidR="00206C26">
        <w:t>（CRPD/C/12/D/10/2013）</w:t>
      </w:r>
      <w:r>
        <w:t>に関する2014年の見解</w:t>
      </w:r>
      <w:r w:rsidR="00206C26">
        <w:rPr>
          <w:rFonts w:hint="eastAsia"/>
        </w:rPr>
        <w:t>の</w:t>
      </w:r>
      <w:r>
        <w:t>立場を改めて表明</w:t>
      </w:r>
      <w:r w:rsidR="00206C26">
        <w:rPr>
          <w:rFonts w:hint="eastAsia"/>
        </w:rPr>
        <w:t>した。そこでは</w:t>
      </w:r>
      <w:r>
        <w:t>障害の人権に基づくモデルは、「障害はアイデンティティのいくつかの層の1つ」として、</w:t>
      </w:r>
      <w:r w:rsidR="00274DCA">
        <w:t>障害のある人</w:t>
      </w:r>
      <w:r>
        <w:t>の多様性を考慮する</w:t>
      </w:r>
      <w:r w:rsidR="00206C26">
        <w:rPr>
          <w:rFonts w:hint="eastAsia"/>
        </w:rPr>
        <w:t>ことを求めているとした</w:t>
      </w:r>
      <w:r w:rsidR="00BA7983" w:rsidRPr="00F000F1">
        <w:rPr>
          <w:rStyle w:val="ac"/>
          <w:rFonts w:cs="Arial"/>
        </w:rPr>
        <w:footnoteReference w:id="20"/>
      </w:r>
      <w:r w:rsidR="00206C26">
        <w:rPr>
          <w:rFonts w:hint="eastAsia"/>
        </w:rPr>
        <w:t>。</w:t>
      </w:r>
    </w:p>
    <w:p w:rsidR="00F87D84" w:rsidRDefault="00F87D84" w:rsidP="0000597B"/>
    <w:p w:rsidR="0000597B" w:rsidRDefault="0000597B" w:rsidP="0000597B">
      <w:r>
        <w:t>19.</w:t>
      </w:r>
      <w:r w:rsidR="005B4D8C">
        <w:t xml:space="preserve"> </w:t>
      </w:r>
      <w:r>
        <w:t>障害の人権モデルは、委員会の</w:t>
      </w:r>
      <w:r w:rsidR="00206C26">
        <w:rPr>
          <w:rFonts w:hint="eastAsia"/>
        </w:rPr>
        <w:t>総括所見の</w:t>
      </w:r>
      <w:r w:rsidR="00BD49F3">
        <w:rPr>
          <w:rFonts w:hint="eastAsia"/>
        </w:rPr>
        <w:t>第</w:t>
      </w:r>
      <w:r w:rsidR="00206C26">
        <w:t>1</w:t>
      </w:r>
      <w:r w:rsidR="00BD49F3">
        <w:rPr>
          <w:rFonts w:hint="eastAsia"/>
        </w:rPr>
        <w:t>―</w:t>
      </w:r>
      <w:r w:rsidR="00206C26">
        <w:t>4条</w:t>
      </w:r>
      <w:r>
        <w:t>で一貫して言及され、頻繁に意識向上に関する第8条、人の自由と安全に関する第14条（特に脱施設との関係</w:t>
      </w:r>
      <w:r w:rsidR="00BD49F3">
        <w:rPr>
          <w:rFonts w:hint="eastAsia"/>
        </w:rPr>
        <w:t>で</w:t>
      </w:r>
      <w:r>
        <w:t>）、健康に関する第25条</w:t>
      </w:r>
      <w:r w:rsidR="00BD49F3">
        <w:rPr>
          <w:rFonts w:hint="eastAsia"/>
        </w:rPr>
        <w:t>、相当な</w:t>
      </w:r>
      <w:r>
        <w:t>生活</w:t>
      </w:r>
      <w:r w:rsidR="00BD49F3">
        <w:rPr>
          <w:rFonts w:hint="eastAsia"/>
        </w:rPr>
        <w:t>水準</w:t>
      </w:r>
      <w:r>
        <w:t>および社会</w:t>
      </w:r>
      <w:r w:rsidR="00BD49F3">
        <w:rPr>
          <w:rFonts w:hint="eastAsia"/>
        </w:rPr>
        <w:t>的保障</w:t>
      </w:r>
      <w:r>
        <w:t>に関する第28条</w:t>
      </w:r>
      <w:r w:rsidR="00BD49F3">
        <w:rPr>
          <w:rFonts w:hint="eastAsia"/>
        </w:rPr>
        <w:t>で言及されている</w:t>
      </w:r>
      <w:r w:rsidR="00BA7983" w:rsidRPr="00F000F1">
        <w:rPr>
          <w:rStyle w:val="ac"/>
          <w:rFonts w:cs="Arial"/>
        </w:rPr>
        <w:footnoteReference w:id="21"/>
      </w:r>
      <w:r>
        <w:t>。</w:t>
      </w:r>
    </w:p>
    <w:p w:rsidR="00F87D84" w:rsidRDefault="00F87D84" w:rsidP="0000597B">
      <w:pPr>
        <w:rPr>
          <w:b/>
          <w:bCs/>
        </w:rPr>
      </w:pPr>
    </w:p>
    <w:p w:rsidR="0000597B" w:rsidRPr="00FF6309" w:rsidRDefault="0000597B" w:rsidP="0000597B">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0022415F" w:rsidRPr="00FF6309">
        <w:rPr>
          <w:rFonts w:ascii="ＭＳ ゴシック" w:eastAsia="ＭＳ ゴシック" w:hAnsi="ＭＳ ゴシック"/>
          <w:b/>
          <w:bCs/>
        </w:rPr>
        <w:t>障害への</w:t>
      </w:r>
      <w:r w:rsidRPr="00FF6309">
        <w:rPr>
          <w:rFonts w:ascii="ＭＳ ゴシック" w:eastAsia="ＭＳ ゴシック" w:hAnsi="ＭＳ ゴシック"/>
          <w:b/>
          <w:bCs/>
        </w:rPr>
        <w:t>人権に基づくアプローチの適用</w:t>
      </w:r>
    </w:p>
    <w:p w:rsidR="00F87D84" w:rsidRDefault="00F87D84" w:rsidP="0000597B"/>
    <w:p w:rsidR="0000597B" w:rsidRDefault="0000597B" w:rsidP="0000597B">
      <w:r w:rsidRPr="003745DF">
        <w:t>20.</w:t>
      </w:r>
      <w:r w:rsidR="005B4D8C" w:rsidRPr="003745DF">
        <w:t xml:space="preserve"> </w:t>
      </w:r>
      <w:r w:rsidRPr="003745DF">
        <w:t>障害の人権モデルと</w:t>
      </w:r>
      <w:r>
        <w:t>並行して、委員会は障害</w:t>
      </w:r>
      <w:r w:rsidR="003745DF">
        <w:rPr>
          <w:rFonts w:hint="eastAsia"/>
        </w:rPr>
        <w:t>への</w:t>
      </w:r>
      <w:r>
        <w:t>人権に基づくアプローチを適用</w:t>
      </w:r>
      <w:r w:rsidR="003F6448">
        <w:t>する</w:t>
      </w:r>
      <w:r>
        <w:t>。人権モデルは障害の概念に焦点を当て</w:t>
      </w:r>
      <w:r w:rsidR="003F6448">
        <w:t>る</w:t>
      </w:r>
      <w:r>
        <w:t>が、人権</w:t>
      </w:r>
      <w:r w:rsidR="003745DF">
        <w:rPr>
          <w:rFonts w:hint="eastAsia"/>
        </w:rPr>
        <w:t>に基づく</w:t>
      </w:r>
      <w:r>
        <w:t>アプローチは障害のある人に焦点を当て、障害のある人を完全な権利保有者として認め</w:t>
      </w:r>
      <w:r w:rsidR="003F6448">
        <w:t>る</w:t>
      </w:r>
      <w:r w:rsidR="00BA7983" w:rsidRPr="00F000F1">
        <w:rPr>
          <w:rStyle w:val="ac"/>
          <w:rFonts w:cs="Arial"/>
        </w:rPr>
        <w:footnoteReference w:id="22"/>
      </w:r>
      <w:r>
        <w:t>。これらの2つの概念は相互に影響を及ぼしているため（つまり、障害の人権モデルを採用していないため、障害のある人</w:t>
      </w:r>
      <w:r w:rsidR="003745DF">
        <w:rPr>
          <w:rFonts w:hint="eastAsia"/>
        </w:rPr>
        <w:t>が</w:t>
      </w:r>
      <w:r>
        <w:t>完全な権利保有者として認識されない）、これらの概念の間には混乱が</w:t>
      </w:r>
      <w:r w:rsidR="003F6448">
        <w:t>ある</w:t>
      </w:r>
      <w:r>
        <w:t>が、委員会は障害</w:t>
      </w:r>
      <w:r w:rsidR="003745DF">
        <w:rPr>
          <w:rFonts w:hint="eastAsia"/>
        </w:rPr>
        <w:t>への</w:t>
      </w:r>
      <w:r>
        <w:t>人権</w:t>
      </w:r>
      <w:r w:rsidR="003745DF">
        <w:rPr>
          <w:rFonts w:hint="eastAsia"/>
        </w:rPr>
        <w:t>に基づく</w:t>
      </w:r>
      <w:r>
        <w:t>アプローチの適用の重要性</w:t>
      </w:r>
      <w:r w:rsidR="003745DF">
        <w:rPr>
          <w:rFonts w:hint="eastAsia"/>
        </w:rPr>
        <w:t>を</w:t>
      </w:r>
      <w:r w:rsidR="003745DF">
        <w:t>継続的に強調し</w:t>
      </w:r>
      <w:r w:rsidR="003745DF">
        <w:rPr>
          <w:rFonts w:hint="eastAsia"/>
        </w:rPr>
        <w:t>てき</w:t>
      </w:r>
      <w:r w:rsidR="003745DF">
        <w:t>た</w:t>
      </w:r>
      <w:r>
        <w:t>。</w:t>
      </w:r>
    </w:p>
    <w:p w:rsidR="00F87D84" w:rsidRDefault="00F87D84" w:rsidP="0000597B"/>
    <w:p w:rsidR="0000597B" w:rsidRDefault="0000597B" w:rsidP="0000597B">
      <w:r>
        <w:t>21.</w:t>
      </w:r>
      <w:r w:rsidR="005B4D8C">
        <w:t xml:space="preserve"> </w:t>
      </w:r>
      <w:r>
        <w:t>委員会は、締約国が人権に基づくアプローチに沿って条約の規定を適用しなければならないと強調した。障害のある女性と女</w:t>
      </w:r>
      <w:r w:rsidR="003745DF">
        <w:rPr>
          <w:rFonts w:hint="eastAsia"/>
        </w:rPr>
        <w:t>子</w:t>
      </w:r>
      <w:r>
        <w:t>に関する</w:t>
      </w:r>
      <w:r w:rsidR="00B61E9E">
        <w:t>一般的意見</w:t>
      </w:r>
      <w:r>
        <w:t>No. 3（CRPD/C/GC/3）において委員会は、</w:t>
      </w:r>
      <w:r w:rsidR="00CC1878">
        <w:rPr>
          <w:rFonts w:hint="eastAsia"/>
        </w:rPr>
        <w:t>人権に基づくアプローチによって</w:t>
      </w:r>
      <w:r>
        <w:t>障害</w:t>
      </w:r>
      <w:r w:rsidR="002620FB">
        <w:t>のある</w:t>
      </w:r>
      <w:r>
        <w:t>女性と女</w:t>
      </w:r>
      <w:r w:rsidR="003745DF">
        <w:rPr>
          <w:rFonts w:hint="eastAsia"/>
        </w:rPr>
        <w:t>子</w:t>
      </w:r>
      <w:r>
        <w:t>の人権を促進、保護、</w:t>
      </w:r>
      <w:r w:rsidR="00CC1878">
        <w:rPr>
          <w:rFonts w:hint="eastAsia"/>
        </w:rPr>
        <w:t>実現し、彼女らを明確な</w:t>
      </w:r>
      <w:r w:rsidR="00CC1878">
        <w:t>権利保有者として認識する</w:t>
      </w:r>
      <w:r>
        <w:t>締約国の義務を想起</w:t>
      </w:r>
      <w:r w:rsidR="003F6448">
        <w:t>した</w:t>
      </w:r>
      <w:r w:rsidR="00BA7983" w:rsidRPr="00F000F1">
        <w:rPr>
          <w:rStyle w:val="ac"/>
          <w:rFonts w:cs="Arial"/>
        </w:rPr>
        <w:footnoteReference w:id="23"/>
      </w:r>
      <w:r>
        <w:t>。例えば、障害</w:t>
      </w:r>
      <w:r w:rsidR="00CC1878">
        <w:rPr>
          <w:rFonts w:hint="eastAsia"/>
        </w:rPr>
        <w:t>のある</w:t>
      </w:r>
      <w:r>
        <w:t>女性の公共の意思決定への参加を促進すること</w:t>
      </w:r>
      <w:r w:rsidR="00CC1878">
        <w:rPr>
          <w:rFonts w:hint="eastAsia"/>
        </w:rPr>
        <w:t>など</w:t>
      </w:r>
      <w:r w:rsidR="00BA7983" w:rsidRPr="00F000F1">
        <w:rPr>
          <w:rStyle w:val="ac"/>
          <w:rFonts w:cs="Arial"/>
        </w:rPr>
        <w:footnoteReference w:id="24"/>
      </w:r>
      <w:r w:rsidR="00CC1878">
        <w:rPr>
          <w:rFonts w:hint="eastAsia"/>
        </w:rPr>
        <w:t>。</w:t>
      </w:r>
      <w:r w:rsidR="00B61E9E">
        <w:t>一般的意見</w:t>
      </w:r>
      <w:r>
        <w:t>No. 5とNo. 6の両方で委員会は、</w:t>
      </w:r>
      <w:r w:rsidR="00CC1878">
        <w:rPr>
          <w:rFonts w:hint="eastAsia"/>
        </w:rPr>
        <w:t>支援</w:t>
      </w:r>
      <w:r>
        <w:t>サ</w:t>
      </w:r>
      <w:r>
        <w:rPr>
          <w:rFonts w:hint="eastAsia"/>
        </w:rPr>
        <w:t>ービスにアクセスするための</w:t>
      </w:r>
      <w:r w:rsidR="00CC1878">
        <w:rPr>
          <w:rFonts w:hint="eastAsia"/>
        </w:rPr>
        <w:t>受給</w:t>
      </w:r>
      <w:r>
        <w:rPr>
          <w:rFonts w:hint="eastAsia"/>
        </w:rPr>
        <w:t>適格基準と手順を</w:t>
      </w:r>
      <w:r w:rsidR="00CC1878">
        <w:rPr>
          <w:rFonts w:hint="eastAsia"/>
        </w:rPr>
        <w:t>、</w:t>
      </w:r>
      <w:r w:rsidR="00CC1878">
        <w:t>締約国が</w:t>
      </w:r>
      <w:r w:rsidR="00650930">
        <w:t>無差別</w:t>
      </w:r>
      <w:r w:rsidR="00CC1878">
        <w:t>的な方法で</w:t>
      </w:r>
      <w:r>
        <w:rPr>
          <w:rFonts w:hint="eastAsia"/>
        </w:rPr>
        <w:t>定義する場合の人権</w:t>
      </w:r>
      <w:r w:rsidR="00CC1878">
        <w:rPr>
          <w:rFonts w:hint="eastAsia"/>
        </w:rPr>
        <w:t>に基づく</w:t>
      </w:r>
      <w:r>
        <w:rPr>
          <w:rFonts w:hint="eastAsia"/>
        </w:rPr>
        <w:t>アプローチの適用について言及して</w:t>
      </w:r>
      <w:r w:rsidR="003F6448">
        <w:rPr>
          <w:rFonts w:hint="eastAsia"/>
        </w:rPr>
        <w:t>いる</w:t>
      </w:r>
      <w:r w:rsidR="00BA7983" w:rsidRPr="00F000F1">
        <w:rPr>
          <w:rStyle w:val="ac"/>
          <w:rFonts w:cs="Arial"/>
        </w:rPr>
        <w:footnoteReference w:id="25"/>
      </w:r>
      <w:r>
        <w:rPr>
          <w:rFonts w:hint="eastAsia"/>
        </w:rPr>
        <w:t>。</w:t>
      </w:r>
    </w:p>
    <w:p w:rsidR="0000597B" w:rsidRDefault="0000597B" w:rsidP="0000597B"/>
    <w:p w:rsidR="00AF1B71" w:rsidRDefault="00AF1B71" w:rsidP="00AF1B71">
      <w:r>
        <w:t>22.</w:t>
      </w:r>
      <w:r w:rsidR="005B4D8C">
        <w:t xml:space="preserve"> </w:t>
      </w:r>
      <w:r>
        <w:t>委員会の</w:t>
      </w:r>
      <w:r w:rsidR="00CC1878">
        <w:rPr>
          <w:rFonts w:hint="eastAsia"/>
        </w:rPr>
        <w:t>総括所見</w:t>
      </w:r>
      <w:r>
        <w:t>では、人権に基づくアプローチは主に第1</w:t>
      </w:r>
      <w:r>
        <w:rPr>
          <w:rFonts w:hint="eastAsia"/>
        </w:rPr>
        <w:t>〜</w:t>
      </w:r>
      <w:r>
        <w:t>4条、平等および</w:t>
      </w:r>
      <w:r w:rsidR="00650930">
        <w:t>無差別</w:t>
      </w:r>
      <w:r>
        <w:t>に関する第5条、意識向上に関する第8条、統計およびデータ収集に関する第31条で言及された。また、</w:t>
      </w:r>
      <w:r w:rsidR="007A217D">
        <w:rPr>
          <w:rFonts w:hint="eastAsia"/>
        </w:rPr>
        <w:t>より散発的にではあるが司法</w:t>
      </w:r>
      <w:r>
        <w:t>へのアクセスに関する第13条、拷問または残酷、非人道的または品位を傷つける取り扱いまたは処罰</w:t>
      </w:r>
      <w:r w:rsidR="007A217D">
        <w:rPr>
          <w:rFonts w:hint="eastAsia"/>
        </w:rPr>
        <w:t>から</w:t>
      </w:r>
      <w:r>
        <w:t>の自由に関する第15条、自立</w:t>
      </w:r>
      <w:r w:rsidR="007A217D">
        <w:rPr>
          <w:rFonts w:hint="eastAsia"/>
        </w:rPr>
        <w:t>生活及び地域社会へのインクルージョンに関する第</w:t>
      </w:r>
      <w:r>
        <w:t>19条、プライバシーの尊重に関する第22条、健康に関する</w:t>
      </w:r>
      <w:r w:rsidR="007A217D">
        <w:rPr>
          <w:rFonts w:hint="eastAsia"/>
        </w:rPr>
        <w:t>第</w:t>
      </w:r>
      <w:r>
        <w:t>25</w:t>
      </w:r>
      <w:r w:rsidR="007A217D">
        <w:rPr>
          <w:rFonts w:hint="eastAsia"/>
        </w:rPr>
        <w:t>条</w:t>
      </w:r>
      <w:r>
        <w:t>と政治的および公的</w:t>
      </w:r>
      <w:r w:rsidR="007A217D">
        <w:rPr>
          <w:rFonts w:hint="eastAsia"/>
        </w:rPr>
        <w:t>活動</w:t>
      </w:r>
      <w:r>
        <w:t>への参加に関する第29条</w:t>
      </w:r>
      <w:r w:rsidR="007A217D">
        <w:rPr>
          <w:rFonts w:hint="eastAsia"/>
        </w:rPr>
        <w:t>でも言及されている</w:t>
      </w:r>
      <w:r>
        <w:t>。定期報告に関する2016年の改訂ガイドライン</w:t>
      </w:r>
      <w:r w:rsidR="009D20B2">
        <w:rPr>
          <w:rFonts w:hint="eastAsia"/>
        </w:rPr>
        <w:t>で</w:t>
      </w:r>
      <w:r>
        <w:t>は、第1条、8条、19</w:t>
      </w:r>
      <w:r>
        <w:rPr>
          <w:rFonts w:hint="eastAsia"/>
        </w:rPr>
        <w:t>条</w:t>
      </w:r>
      <w:r w:rsidR="009D20B2">
        <w:rPr>
          <w:rFonts w:hint="eastAsia"/>
        </w:rPr>
        <w:t>で</w:t>
      </w:r>
      <w:r>
        <w:rPr>
          <w:rFonts w:hint="eastAsia"/>
        </w:rPr>
        <w:t>人権に基づくアプローチ</w:t>
      </w:r>
      <w:r w:rsidR="009D20B2">
        <w:rPr>
          <w:rFonts w:hint="eastAsia"/>
        </w:rPr>
        <w:t>に言及し</w:t>
      </w:r>
      <w:r>
        <w:rPr>
          <w:rFonts w:hint="eastAsia"/>
        </w:rPr>
        <w:t>、</w:t>
      </w:r>
      <w:r>
        <w:t>SDGsの実施に関</w:t>
      </w:r>
      <w:r w:rsidR="009D20B2">
        <w:rPr>
          <w:rFonts w:hint="eastAsia"/>
        </w:rPr>
        <w:t>してこれに言及している</w:t>
      </w:r>
      <w:r>
        <w:t>（パラ1（d））。</w:t>
      </w:r>
    </w:p>
    <w:p w:rsidR="00F87D84" w:rsidRDefault="00F87D84" w:rsidP="00AF1B71">
      <w:pPr>
        <w:rPr>
          <w:b/>
          <w:bCs/>
        </w:rPr>
      </w:pPr>
    </w:p>
    <w:p w:rsidR="00AF1B71" w:rsidRPr="005B4D8C" w:rsidRDefault="00AF1B71" w:rsidP="005B4D8C">
      <w:pPr>
        <w:pStyle w:val="a7"/>
        <w:numPr>
          <w:ilvl w:val="0"/>
          <w:numId w:val="3"/>
        </w:numPr>
        <w:ind w:leftChars="0"/>
        <w:rPr>
          <w:rFonts w:ascii="ＭＳ ゴシック" w:eastAsia="ＭＳ ゴシック" w:hAnsi="ＭＳ ゴシック"/>
          <w:b/>
          <w:bCs/>
        </w:rPr>
      </w:pPr>
      <w:r w:rsidRPr="005B4D8C">
        <w:rPr>
          <w:rFonts w:ascii="ＭＳ ゴシック" w:eastAsia="ＭＳ ゴシック" w:hAnsi="ＭＳ ゴシック"/>
          <w:b/>
          <w:bCs/>
        </w:rPr>
        <w:t>締約国の主な義務</w:t>
      </w:r>
    </w:p>
    <w:p w:rsidR="00F87D84" w:rsidRPr="00FF6309" w:rsidRDefault="00F87D84" w:rsidP="00AF1B71">
      <w:pPr>
        <w:rPr>
          <w:rFonts w:ascii="ＭＳ ゴシック" w:eastAsia="ＭＳ ゴシック" w:hAnsi="ＭＳ ゴシック"/>
          <w:b/>
          <w:bCs/>
        </w:rPr>
      </w:pPr>
    </w:p>
    <w:p w:rsidR="00AF1B71" w:rsidRPr="00FF6309" w:rsidRDefault="00FF6309" w:rsidP="00AF1B71">
      <w:pPr>
        <w:rPr>
          <w:rFonts w:ascii="ＭＳ ゴシック" w:eastAsia="ＭＳ ゴシック" w:hAnsi="ＭＳ ゴシック"/>
          <w:b/>
          <w:bCs/>
        </w:rPr>
      </w:pPr>
      <w:r>
        <w:rPr>
          <w:rFonts w:ascii="ＭＳ ゴシック" w:eastAsia="ＭＳ ゴシック" w:hAnsi="ＭＳ ゴシック" w:hint="eastAsia"/>
          <w:b/>
          <w:bCs/>
        </w:rPr>
        <w:t>i</w:t>
      </w:r>
      <w:r w:rsidR="00720EAA" w:rsidRPr="00FF6309">
        <w:rPr>
          <w:rFonts w:ascii="ＭＳ ゴシック" w:eastAsia="ＭＳ ゴシック" w:hAnsi="ＭＳ ゴシック" w:hint="eastAsia"/>
          <w:b/>
          <w:bCs/>
        </w:rPr>
        <w:t>.</w:t>
      </w:r>
      <w:r w:rsidR="005B4D8C">
        <w:rPr>
          <w:rFonts w:ascii="ＭＳ ゴシック" w:eastAsia="ＭＳ ゴシック" w:hAnsi="ＭＳ ゴシック"/>
          <w:b/>
          <w:bCs/>
        </w:rPr>
        <w:t xml:space="preserve"> </w:t>
      </w:r>
      <w:r w:rsidR="00AF1B71" w:rsidRPr="00FF6309">
        <w:rPr>
          <w:rFonts w:ascii="ＭＳ ゴシック" w:eastAsia="ＭＳ ゴシック" w:hAnsi="ＭＳ ゴシック" w:hint="eastAsia"/>
          <w:b/>
          <w:bCs/>
        </w:rPr>
        <w:t>一般的な義務（第</w:t>
      </w:r>
      <w:r w:rsidR="00AF1B71" w:rsidRPr="00FF6309">
        <w:rPr>
          <w:rFonts w:ascii="ＭＳ ゴシック" w:eastAsia="ＭＳ ゴシック" w:hAnsi="ＭＳ ゴシック"/>
          <w:b/>
          <w:bCs/>
        </w:rPr>
        <w:t>4条）</w:t>
      </w:r>
    </w:p>
    <w:p w:rsidR="00F87D84" w:rsidRDefault="00F87D84" w:rsidP="00AF1B71"/>
    <w:p w:rsidR="00AF1B71" w:rsidRDefault="00AF1B71" w:rsidP="00AF1B71">
      <w:r>
        <w:t xml:space="preserve">23. </w:t>
      </w:r>
      <w:r w:rsidR="005B4D8C">
        <w:t xml:space="preserve"> </w:t>
      </w:r>
      <w:r>
        <w:t>CRPD第4条は、条約の下での締約国の一般的な義務を扱っている。これらの義務は、尊重する義務（すなわち、</w:t>
      </w:r>
      <w:r w:rsidR="00274DCA">
        <w:t>障害のある人</w:t>
      </w:r>
      <w:r w:rsidR="009D20B2">
        <w:rPr>
          <w:rFonts w:hint="eastAsia"/>
        </w:rPr>
        <w:t>を</w:t>
      </w:r>
      <w:r>
        <w:t>差別</w:t>
      </w:r>
      <w:r w:rsidR="009D20B2">
        <w:rPr>
          <w:rFonts w:hint="eastAsia"/>
        </w:rPr>
        <w:t>している</w:t>
      </w:r>
      <w:r>
        <w:t>既存の法律、規制、慣習および</w:t>
      </w:r>
      <w:r w:rsidR="009D20B2">
        <w:rPr>
          <w:rFonts w:hint="eastAsia"/>
        </w:rPr>
        <w:t>行為</w:t>
      </w:r>
      <w:r>
        <w:t>を修正または廃止し、条約と矛盾する行為または</w:t>
      </w:r>
      <w:r w:rsidR="009D20B2">
        <w:rPr>
          <w:rFonts w:hint="eastAsia"/>
        </w:rPr>
        <w:t>慣習</w:t>
      </w:r>
      <w:r>
        <w:t>を控えること）、保護する義務（すなわち、あらゆる個人、組織、または民間企業による障害に基づく差別を</w:t>
      </w:r>
      <w:r w:rsidR="009D20B2">
        <w:rPr>
          <w:rFonts w:hint="eastAsia"/>
        </w:rPr>
        <w:t>なくす</w:t>
      </w:r>
      <w:r>
        <w:t>ための適切な措置を講じ</w:t>
      </w:r>
      <w:r w:rsidR="009D20B2">
        <w:rPr>
          <w:rFonts w:hint="eastAsia"/>
        </w:rPr>
        <w:t>ること）</w:t>
      </w:r>
      <w:r>
        <w:t>、</w:t>
      </w:r>
      <w:r w:rsidR="009D20B2">
        <w:rPr>
          <w:rFonts w:hint="eastAsia"/>
        </w:rPr>
        <w:t>および</w:t>
      </w:r>
      <w:r>
        <w:t>履行する義務（例えば、条約で認められた権利の実施のためのすべての適切な立法、行政およびその他の措置を採用</w:t>
      </w:r>
      <w:r w:rsidR="009D20B2">
        <w:rPr>
          <w:rFonts w:hint="eastAsia"/>
        </w:rPr>
        <w:t>すること、</w:t>
      </w:r>
      <w:r>
        <w:t>アクセス可能な情報を提供する</w:t>
      </w:r>
      <w:r w:rsidR="009D20B2">
        <w:rPr>
          <w:rFonts w:hint="eastAsia"/>
        </w:rPr>
        <w:t>こと</w:t>
      </w:r>
      <w:r>
        <w:t>、</w:t>
      </w:r>
      <w:r w:rsidR="00482066">
        <w:rPr>
          <w:rFonts w:hint="eastAsia"/>
        </w:rPr>
        <w:t>訓練の</w:t>
      </w:r>
      <w:r>
        <w:t>促進など</w:t>
      </w:r>
      <w:r>
        <w:rPr>
          <w:rFonts w:hint="eastAsia"/>
        </w:rPr>
        <w:t>）</w:t>
      </w:r>
      <w:r w:rsidR="0022415F">
        <w:rPr>
          <w:rFonts w:hint="eastAsia"/>
        </w:rPr>
        <w:t>に分けられる</w:t>
      </w:r>
      <w:r>
        <w:rPr>
          <w:rFonts w:hint="eastAsia"/>
        </w:rPr>
        <w:t>。</w:t>
      </w:r>
    </w:p>
    <w:p w:rsidR="00F87D84" w:rsidRDefault="00F87D84" w:rsidP="00AF1B71"/>
    <w:p w:rsidR="00AF1B71" w:rsidRDefault="00AF1B71" w:rsidP="00AF1B71">
      <w:r>
        <w:t>24.</w:t>
      </w:r>
      <w:r w:rsidR="005B4D8C">
        <w:t xml:space="preserve"> </w:t>
      </w:r>
      <w:r>
        <w:t>委員会は、締約国の</w:t>
      </w:r>
      <w:r w:rsidR="007A217D">
        <w:rPr>
          <w:rFonts w:hint="eastAsia"/>
        </w:rPr>
        <w:t>総括所見</w:t>
      </w:r>
      <w:r>
        <w:t>に</w:t>
      </w:r>
      <w:r w:rsidR="00482066">
        <w:rPr>
          <w:rFonts w:hint="eastAsia"/>
        </w:rPr>
        <w:t>おいて</w:t>
      </w:r>
      <w:r>
        <w:t>締約国の一般的な義務に関してさまざまな勧告を行った。勧告は、たとえば「法律と政策の</w:t>
      </w:r>
      <w:r w:rsidR="00482066">
        <w:rPr>
          <w:rFonts w:hint="eastAsia"/>
        </w:rPr>
        <w:t>総合</w:t>
      </w:r>
      <w:r>
        <w:t>的な横断的レビューを開始して、それらを条約と一致させる」など</w:t>
      </w:r>
      <w:r w:rsidR="00482066">
        <w:t>一般的な性質のもの</w:t>
      </w:r>
      <w:r w:rsidR="00EE3CFF">
        <w:rPr>
          <w:rFonts w:hint="eastAsia"/>
        </w:rPr>
        <w:t>の</w:t>
      </w:r>
      <w:r w:rsidR="00482066">
        <w:t>場合もある</w:t>
      </w:r>
      <w:r w:rsidR="00BA7983" w:rsidRPr="006862C0">
        <w:rPr>
          <w:rStyle w:val="ac"/>
          <w:rFonts w:cs="Arial"/>
          <w:lang w:val="en-GB"/>
        </w:rPr>
        <w:footnoteReference w:id="26"/>
      </w:r>
      <w:r w:rsidR="00482066">
        <w:t>が</w:t>
      </w:r>
      <w:r>
        <w:t>、多くの場合、委員会は</w:t>
      </w:r>
      <w:r w:rsidR="00EE3CFF">
        <w:t>特定の法律の廃止または改正</w:t>
      </w:r>
      <w:r>
        <w:t>のような</w:t>
      </w:r>
      <w:r w:rsidR="00EE3CFF">
        <w:rPr>
          <w:rFonts w:hint="eastAsia"/>
        </w:rPr>
        <w:t>詳しい</w:t>
      </w:r>
      <w:r>
        <w:t>措置を提案</w:t>
      </w:r>
      <w:r w:rsidR="003F6448">
        <w:t>する</w:t>
      </w:r>
      <w:r w:rsidR="00BA7983" w:rsidRPr="00F000F1">
        <w:rPr>
          <w:rStyle w:val="ac"/>
          <w:rFonts w:cs="Arial"/>
          <w:lang w:val="en-GB"/>
        </w:rPr>
        <w:footnoteReference w:id="27"/>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経済的、社会的および文化的権利の漸進的実現（4条</w:t>
      </w:r>
      <w:r w:rsidR="00EE3CFF" w:rsidRPr="00FF6309">
        <w:rPr>
          <w:rFonts w:ascii="ＭＳ ゴシック" w:eastAsia="ＭＳ ゴシック" w:hAnsi="ＭＳ ゴシック"/>
          <w:b/>
          <w:bCs/>
        </w:rPr>
        <w:t>2</w:t>
      </w:r>
      <w:r w:rsidRPr="00FF6309">
        <w:rPr>
          <w:rFonts w:ascii="ＭＳ ゴシック" w:eastAsia="ＭＳ ゴシック" w:hAnsi="ＭＳ ゴシック"/>
          <w:b/>
          <w:bCs/>
        </w:rPr>
        <w:t>）</w:t>
      </w:r>
    </w:p>
    <w:p w:rsidR="00F87D84" w:rsidRDefault="00F87D84" w:rsidP="00AF1B71"/>
    <w:p w:rsidR="00AF1B71" w:rsidRDefault="00AF1B71" w:rsidP="00AF1B71">
      <w:r>
        <w:t>25.</w:t>
      </w:r>
      <w:r w:rsidR="005B4D8C">
        <w:t xml:space="preserve"> </w:t>
      </w:r>
      <w:r>
        <w:t>条約第4条2項に基づき、締約国は、経済的、社会的、文化的権利（労働権、教育権、文化的生活など</w:t>
      </w:r>
      <w:r w:rsidR="00EE3CFF">
        <w:rPr>
          <w:rFonts w:hint="eastAsia"/>
        </w:rPr>
        <w:t>への</w:t>
      </w:r>
      <w:r>
        <w:t>参加</w:t>
      </w:r>
      <w:r w:rsidR="00EE3CFF">
        <w:rPr>
          <w:rFonts w:hint="eastAsia"/>
        </w:rPr>
        <w:t>の権利など</w:t>
      </w:r>
      <w:r>
        <w:t>）</w:t>
      </w:r>
      <w:r w:rsidR="00AF391A">
        <w:rPr>
          <w:rFonts w:hint="eastAsia"/>
        </w:rPr>
        <w:t>の完全な実現を</w:t>
      </w:r>
      <w:r w:rsidR="00EE3CFF">
        <w:rPr>
          <w:rFonts w:hint="eastAsia"/>
        </w:rPr>
        <w:t>、利用可能な資源を最大に活用して、漸進的に</w:t>
      </w:r>
      <w:r w:rsidR="00AF391A">
        <w:rPr>
          <w:rFonts w:hint="eastAsia"/>
        </w:rPr>
        <w:t>達成する</w:t>
      </w:r>
      <w:r w:rsidR="00EE3CFF">
        <w:rPr>
          <w:rFonts w:hint="eastAsia"/>
        </w:rPr>
        <w:t>ための措置をとらなければならない。</w:t>
      </w:r>
      <w:r>
        <w:t>委員会は「</w:t>
      </w:r>
      <w:r w:rsidR="00AF391A">
        <w:rPr>
          <w:rFonts w:hint="eastAsia"/>
        </w:rPr>
        <w:t>漸進的</w:t>
      </w:r>
      <w:r>
        <w:t>な実現」をど</w:t>
      </w:r>
      <w:r w:rsidR="00AF391A">
        <w:rPr>
          <w:rFonts w:hint="eastAsia"/>
        </w:rPr>
        <w:t>う</w:t>
      </w:r>
      <w:r>
        <w:t>理解すべきか</w:t>
      </w:r>
      <w:r w:rsidR="00AF391A">
        <w:rPr>
          <w:rFonts w:hint="eastAsia"/>
        </w:rPr>
        <w:t>、これまで</w:t>
      </w:r>
      <w:r>
        <w:t>説明</w:t>
      </w:r>
      <w:r w:rsidR="003F6448">
        <w:t>し</w:t>
      </w:r>
      <w:r w:rsidR="00AF391A">
        <w:rPr>
          <w:rFonts w:hint="eastAsia"/>
        </w:rPr>
        <w:t>てき</w:t>
      </w:r>
      <w:r w:rsidR="003F6448">
        <w:t>た</w:t>
      </w:r>
      <w:r>
        <w:t>。委員会は</w:t>
      </w:r>
      <w:r w:rsidR="00AF391A">
        <w:t>締約国に対し、</w:t>
      </w:r>
      <w:r>
        <w:t>2009年の定期報告に関するガイドラインで、漸進的に</w:t>
      </w:r>
      <w:r w:rsidR="00AF391A">
        <w:rPr>
          <w:rFonts w:hint="eastAsia"/>
        </w:rPr>
        <w:t>実行する権利と即時の実行</w:t>
      </w:r>
      <w:r>
        <w:t>を約束する</w:t>
      </w:r>
      <w:r w:rsidR="00AF391A">
        <w:rPr>
          <w:rFonts w:hint="eastAsia"/>
        </w:rPr>
        <w:t>権利とを初回</w:t>
      </w:r>
      <w:r w:rsidR="00AF391A">
        <w:t>報告で</w:t>
      </w:r>
      <w:r>
        <w:t>記載するよう要請</w:t>
      </w:r>
      <w:r w:rsidR="003F6448">
        <w:t>した</w:t>
      </w:r>
      <w:r>
        <w:t>。</w:t>
      </w:r>
      <w:r w:rsidR="00576AEF">
        <w:rPr>
          <w:rFonts w:hint="eastAsia"/>
        </w:rPr>
        <w:t>委員会は</w:t>
      </w:r>
      <w:r>
        <w:t>その最初の宣言で、締約国は、経済的および財政的不安定が</w:t>
      </w:r>
      <w:r w:rsidR="00274DCA">
        <w:t>障害のある人</w:t>
      </w:r>
      <w:r>
        <w:t>の権利の完全な享受に影響を与えることを控えるべきであると強調し</w:t>
      </w:r>
      <w:r>
        <w:rPr>
          <w:rFonts w:hint="eastAsia"/>
        </w:rPr>
        <w:t>た</w:t>
      </w:r>
      <w:r w:rsidR="00BA7983" w:rsidRPr="00F000F1">
        <w:rPr>
          <w:rStyle w:val="ac"/>
          <w:rFonts w:cs="Arial"/>
        </w:rPr>
        <w:footnoteReference w:id="28"/>
      </w:r>
      <w:r>
        <w:rPr>
          <w:rFonts w:hint="eastAsia"/>
        </w:rPr>
        <w:t>。</w:t>
      </w:r>
    </w:p>
    <w:p w:rsidR="00F87D84" w:rsidRDefault="00F87D84" w:rsidP="00AF1B71"/>
    <w:p w:rsidR="00AF1B71" w:rsidRDefault="00AF1B71" w:rsidP="00AF1B71">
      <w:r>
        <w:t>26.</w:t>
      </w:r>
      <w:r w:rsidR="005B4D8C">
        <w:t xml:space="preserve"> </w:t>
      </w:r>
      <w:r>
        <w:t>インクルーシブ教育に関する</w:t>
      </w:r>
      <w:r w:rsidR="00B61E9E">
        <w:t>一般的意見</w:t>
      </w:r>
      <w:r>
        <w:t>No. 4において委員会は、</w:t>
      </w:r>
      <w:r w:rsidR="00576AEF">
        <w:rPr>
          <w:rFonts w:hint="eastAsia"/>
        </w:rPr>
        <w:t>漸進的</w:t>
      </w:r>
      <w:r>
        <w:t>実現は、締約国が</w:t>
      </w:r>
      <w:r w:rsidR="00576AEF">
        <w:rPr>
          <w:rFonts w:hint="eastAsia"/>
        </w:rPr>
        <w:t>そ</w:t>
      </w:r>
      <w:r>
        <w:t>の権利の完全な実現に向けて可能な限り迅速かつ効果的に</w:t>
      </w:r>
      <w:r w:rsidR="00576AEF">
        <w:rPr>
          <w:rFonts w:hint="eastAsia"/>
        </w:rPr>
        <w:t>取り組む</w:t>
      </w:r>
      <w:r>
        <w:t>特定かつ継続的な義務を負うことを意味すると</w:t>
      </w:r>
      <w:r w:rsidR="00576AEF">
        <w:rPr>
          <w:rFonts w:hint="eastAsia"/>
        </w:rPr>
        <w:t>指摘</w:t>
      </w:r>
      <w:r>
        <w:t>した。</w:t>
      </w:r>
      <w:r w:rsidR="00352327">
        <w:rPr>
          <w:rFonts w:hint="eastAsia"/>
        </w:rPr>
        <w:t>当該</w:t>
      </w:r>
      <w:r>
        <w:t>の権利の完全な実現に関して締約国に明確な義務を確立することは、条約の全体的な目的と併せて</w:t>
      </w:r>
      <w:r w:rsidR="00576AEF">
        <w:rPr>
          <w:rFonts w:hint="eastAsia"/>
        </w:rPr>
        <w:t>理解されなければ</w:t>
      </w:r>
      <w:r>
        <w:t>な</w:t>
      </w:r>
      <w:r w:rsidR="00576AEF">
        <w:rPr>
          <w:rFonts w:hint="eastAsia"/>
        </w:rPr>
        <w:t>らない</w:t>
      </w:r>
      <w:r w:rsidR="00BA7983">
        <w:rPr>
          <w:rStyle w:val="ac"/>
          <w:rFonts w:cs="Arial"/>
        </w:rPr>
        <w:footnoteReference w:id="29"/>
      </w:r>
      <w:r>
        <w:t>。さらに、</w:t>
      </w:r>
      <w:bookmarkStart w:id="2" w:name="_Hlk17804636"/>
      <w:r w:rsidR="00576AEF">
        <w:rPr>
          <w:rFonts w:hint="eastAsia"/>
        </w:rPr>
        <w:t>漸進的</w:t>
      </w:r>
      <w:bookmarkEnd w:id="2"/>
      <w:r>
        <w:t>実現は、直ちに適用される義務を</w:t>
      </w:r>
      <w:r w:rsidR="00576AEF">
        <w:rPr>
          <w:rFonts w:hint="eastAsia"/>
        </w:rPr>
        <w:t>免ずる</w:t>
      </w:r>
      <w:r>
        <w:t>ものではなく、締約国は、少なくとも、問題の</w:t>
      </w:r>
      <w:r w:rsidR="00BA1A27">
        <w:rPr>
          <w:rFonts w:hint="eastAsia"/>
        </w:rPr>
        <w:t>各</w:t>
      </w:r>
      <w:r>
        <w:t>権利の最低限の必須レベルの満足を確保する最低</w:t>
      </w:r>
      <w:r w:rsidR="00BA1A27">
        <w:rPr>
          <w:rFonts w:hint="eastAsia"/>
        </w:rPr>
        <w:t>限度の</w:t>
      </w:r>
      <w:r>
        <w:t>中核的な義務を負うことに留</w:t>
      </w:r>
      <w:r>
        <w:rPr>
          <w:rFonts w:hint="eastAsia"/>
        </w:rPr>
        <w:t>意</w:t>
      </w:r>
      <w:r w:rsidR="00BA1A27">
        <w:rPr>
          <w:rFonts w:hint="eastAsia"/>
        </w:rPr>
        <w:t>した</w:t>
      </w:r>
      <w:r w:rsidR="00BA7983">
        <w:rPr>
          <w:rStyle w:val="ac"/>
          <w:rFonts w:cs="Arial"/>
        </w:rPr>
        <w:footnoteReference w:id="30"/>
      </w:r>
      <w:r>
        <w:rPr>
          <w:rFonts w:hint="eastAsia"/>
        </w:rPr>
        <w:t>。</w:t>
      </w:r>
    </w:p>
    <w:p w:rsidR="00F87D84" w:rsidRDefault="00F87D84" w:rsidP="00AF1B71"/>
    <w:p w:rsidR="0000597B" w:rsidRDefault="00AF1B71" w:rsidP="00AF1B71">
      <w:r>
        <w:t>27.</w:t>
      </w:r>
      <w:r w:rsidR="005B4D8C">
        <w:t xml:space="preserve"> </w:t>
      </w:r>
      <w:r>
        <w:t>さらに、委員会は後に、</w:t>
      </w:r>
      <w:r w:rsidR="00BA1A27">
        <w:rPr>
          <w:rFonts w:hint="eastAsia"/>
        </w:rPr>
        <w:t>漸進的</w:t>
      </w:r>
      <w:r>
        <w:t>実現の義務</w:t>
      </w:r>
      <w:r w:rsidR="003463F3">
        <w:rPr>
          <w:rFonts w:hint="eastAsia"/>
        </w:rPr>
        <w:t>に</w:t>
      </w:r>
      <w:r>
        <w:t>は</w:t>
      </w:r>
      <w:r w:rsidR="00BA1A27">
        <w:rPr>
          <w:rFonts w:hint="eastAsia"/>
        </w:rPr>
        <w:t>、後退</w:t>
      </w:r>
      <w:r>
        <w:t>的措置、つまり既存の権利のレベルを低下させる措置</w:t>
      </w:r>
      <w:r w:rsidR="003463F3">
        <w:rPr>
          <w:rFonts w:hint="eastAsia"/>
        </w:rPr>
        <w:t>の否定が想定されているとした</w:t>
      </w:r>
      <w:r w:rsidR="00671C3D">
        <w:rPr>
          <w:rStyle w:val="ac"/>
          <w:rFonts w:cs="Arial"/>
        </w:rPr>
        <w:footnoteReference w:id="31"/>
      </w:r>
      <w:r w:rsidR="003463F3">
        <w:rPr>
          <w:rFonts w:hint="eastAsia"/>
        </w:rPr>
        <w:t>。後退的</w:t>
      </w:r>
      <w:r>
        <w:t>措置が採用される場合、締約国は、すべての代替案を慎重に検討した後に導入されたこと、および利用可能な最大限の</w:t>
      </w:r>
      <w:r w:rsidR="003463F3">
        <w:rPr>
          <w:rFonts w:hint="eastAsia"/>
        </w:rPr>
        <w:t>資源</w:t>
      </w:r>
      <w:r>
        <w:t>の使用</w:t>
      </w:r>
      <w:r w:rsidR="003463F3">
        <w:rPr>
          <w:rFonts w:hint="eastAsia"/>
        </w:rPr>
        <w:t>の面で十分に</w:t>
      </w:r>
      <w:r>
        <w:t>正当化されることを実証する必要が</w:t>
      </w:r>
      <w:r w:rsidR="003F6448">
        <w:t>ある</w:t>
      </w:r>
      <w:r w:rsidR="00671C3D" w:rsidRPr="00F000F1">
        <w:rPr>
          <w:rStyle w:val="ac"/>
          <w:rFonts w:cs="Arial"/>
        </w:rPr>
        <w:footnoteReference w:id="32"/>
      </w:r>
      <w:r>
        <w:t>。委員会はまた、法の前の平等な認識に関する第12条の規定</w:t>
      </w:r>
      <w:r w:rsidR="00671C3D">
        <w:rPr>
          <w:rStyle w:val="ac"/>
          <w:rFonts w:cs="Arial"/>
        </w:rPr>
        <w:footnoteReference w:id="33"/>
      </w:r>
      <w:r>
        <w:t>および合理的配慮を提供する締約国の義務</w:t>
      </w:r>
      <w:r w:rsidR="00671C3D">
        <w:rPr>
          <w:rStyle w:val="ac"/>
          <w:rFonts w:cs="Arial"/>
        </w:rPr>
        <w:footnoteReference w:id="34"/>
      </w:r>
      <w:r>
        <w:t>には、</w:t>
      </w:r>
      <w:r w:rsidR="00BA1A27">
        <w:rPr>
          <w:rFonts w:hint="eastAsia"/>
        </w:rPr>
        <w:t>漸進的</w:t>
      </w:r>
      <w:r>
        <w:t>実現は適用されないことを明確にした。</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国内実施と</w:t>
      </w:r>
      <w:r w:rsidR="003463F3">
        <w:rPr>
          <w:rFonts w:ascii="ＭＳ ゴシック" w:eastAsia="ＭＳ ゴシック" w:hAnsi="ＭＳ ゴシック" w:hint="eastAsia"/>
          <w:b/>
          <w:bCs/>
        </w:rPr>
        <w:t>監視</w:t>
      </w:r>
      <w:r w:rsidRPr="00FF6309">
        <w:rPr>
          <w:rFonts w:ascii="ＭＳ ゴシック" w:eastAsia="ＭＳ ゴシック" w:hAnsi="ＭＳ ゴシック"/>
          <w:b/>
          <w:bCs/>
        </w:rPr>
        <w:t>（第33条）</w:t>
      </w:r>
    </w:p>
    <w:p w:rsidR="00F87D84" w:rsidRDefault="00F87D84" w:rsidP="00AF1B71"/>
    <w:p w:rsidR="00AF1B71" w:rsidRDefault="00AF1B71" w:rsidP="00AF1B71">
      <w:r>
        <w:t>28.</w:t>
      </w:r>
      <w:r w:rsidR="005B4D8C">
        <w:t xml:space="preserve"> </w:t>
      </w:r>
      <w:r>
        <w:t>条約の完全かつ適切な実施を確保するために、第33条は、締約国に対し、条約の実施に関連する事項について政府内の</w:t>
      </w:r>
      <w:r w:rsidR="003463F3">
        <w:rPr>
          <w:rFonts w:hint="eastAsia"/>
        </w:rPr>
        <w:t>中央連絡先（</w:t>
      </w:r>
      <w:r w:rsidR="003463F3" w:rsidRPr="003463F3">
        <w:t>focal point</w:t>
      </w:r>
      <w:r w:rsidR="003463F3">
        <w:rPr>
          <w:rFonts w:hint="eastAsia"/>
        </w:rPr>
        <w:t>）</w:t>
      </w:r>
      <w:r>
        <w:t>を指定し、異なる</w:t>
      </w:r>
      <w:r w:rsidR="003463F3">
        <w:rPr>
          <w:rFonts w:hint="eastAsia"/>
        </w:rPr>
        <w:t>部門および段階</w:t>
      </w:r>
      <w:r>
        <w:t>での行動を促進する調整メカニズムを確立することを要求</w:t>
      </w:r>
      <w:r w:rsidR="003463F3">
        <w:rPr>
          <w:rFonts w:hint="eastAsia"/>
        </w:rPr>
        <w:t>している</w:t>
      </w:r>
      <w:r>
        <w:t>（第33条（1））。さらに、市民社会、特に</w:t>
      </w:r>
      <w:r w:rsidR="00274DCA">
        <w:t>障害のある人</w:t>
      </w:r>
      <w:r w:rsidR="002F718F">
        <w:t>およびその代表組織</w:t>
      </w:r>
      <w:r>
        <w:t>の完全な関与と参加により</w:t>
      </w:r>
      <w:r w:rsidR="002F718F">
        <w:t>（第33条（3））</w:t>
      </w:r>
      <w:r>
        <w:t>、条約の実施を促進、保護、監視するために、1つ以上の独立したメカニズムを含む</w:t>
      </w:r>
      <w:r w:rsidR="002F718F">
        <w:rPr>
          <w:rFonts w:hint="eastAsia"/>
        </w:rPr>
        <w:t>枠組み</w:t>
      </w:r>
      <w:r>
        <w:t>を確立する必要が</w:t>
      </w:r>
      <w:r w:rsidR="003F6448">
        <w:t>ある</w:t>
      </w:r>
      <w:r>
        <w:t>（第33条（2））。</w:t>
      </w:r>
    </w:p>
    <w:p w:rsidR="00F87D84" w:rsidRDefault="00F87D84" w:rsidP="00AF1B71"/>
    <w:p w:rsidR="00AF1B71" w:rsidRDefault="00AF1B71" w:rsidP="00AF1B71">
      <w:r w:rsidRPr="00DB218D">
        <w:t>29.</w:t>
      </w:r>
      <w:r w:rsidR="005B4D8C">
        <w:t xml:space="preserve"> </w:t>
      </w:r>
      <w:r>
        <w:t>委員会は、アクセシビリティに関する第9条</w:t>
      </w:r>
      <w:r w:rsidR="00671C3D" w:rsidRPr="00F000F1">
        <w:rPr>
          <w:rStyle w:val="ac"/>
          <w:rFonts w:cs="Arial"/>
        </w:rPr>
        <w:footnoteReference w:id="35"/>
      </w:r>
      <w:r>
        <w:t>、自立生活と</w:t>
      </w:r>
      <w:r w:rsidR="00274DCA">
        <w:rPr>
          <w:rFonts w:hint="eastAsia"/>
        </w:rPr>
        <w:t>地域</w:t>
      </w:r>
      <w:r>
        <w:t>社会への</w:t>
      </w:r>
      <w:r w:rsidR="00DB218D">
        <w:rPr>
          <w:rFonts w:hint="eastAsia"/>
        </w:rPr>
        <w:t>インクルージョン</w:t>
      </w:r>
      <w:r>
        <w:t>に関する第19条</w:t>
      </w:r>
      <w:r w:rsidR="00671C3D" w:rsidRPr="00F000F1">
        <w:rPr>
          <w:rStyle w:val="ac"/>
          <w:rFonts w:cs="Arial"/>
        </w:rPr>
        <w:footnoteReference w:id="36"/>
      </w:r>
      <w:r>
        <w:t>、インクルーシブ教育に関する第24条</w:t>
      </w:r>
      <w:r w:rsidR="00671C3D" w:rsidRPr="00F000F1">
        <w:rPr>
          <w:rStyle w:val="ac"/>
          <w:rFonts w:cs="Arial"/>
        </w:rPr>
        <w:footnoteReference w:id="37"/>
      </w:r>
      <w:r>
        <w:t>など、条約の特定の条項を監視する方法に関する情報を提供した。2016年、委員会は、独立した監視</w:t>
      </w:r>
      <w:r w:rsidR="00DB218D">
        <w:rPr>
          <w:rFonts w:hint="eastAsia"/>
        </w:rPr>
        <w:t>枠組み</w:t>
      </w:r>
      <w:r>
        <w:t>と委員会の</w:t>
      </w:r>
      <w:r w:rsidR="00DB218D">
        <w:rPr>
          <w:rFonts w:hint="eastAsia"/>
        </w:rPr>
        <w:t>活動</w:t>
      </w:r>
      <w:r>
        <w:t>への</w:t>
      </w:r>
      <w:r w:rsidR="00DB218D">
        <w:rPr>
          <w:rFonts w:hint="eastAsia"/>
        </w:rPr>
        <w:t>その</w:t>
      </w:r>
      <w:r>
        <w:t>参加に関するガイドラインを</w:t>
      </w:r>
      <w:r w:rsidR="00DB218D">
        <w:rPr>
          <w:rFonts w:hint="eastAsia"/>
        </w:rPr>
        <w:t>発行</w:t>
      </w:r>
      <w:r w:rsidR="003F6448">
        <w:t>した</w:t>
      </w:r>
      <w:r>
        <w:t>（CRPD/C/1/Rev.1、付録）。監視の枠組みは完全に独立している必要があるため、国内人権機関は、条約の実施と監視</w:t>
      </w:r>
      <w:r w:rsidR="00DB218D">
        <w:rPr>
          <w:rFonts w:hint="eastAsia"/>
        </w:rPr>
        <w:t>の実行</w:t>
      </w:r>
      <w:r>
        <w:t>に重要な役割を担って</w:t>
      </w:r>
      <w:r w:rsidR="003F6448">
        <w:t>いる</w:t>
      </w:r>
      <w:r w:rsidR="00671C3D" w:rsidRPr="00F000F1">
        <w:rPr>
          <w:rStyle w:val="ac"/>
          <w:rFonts w:cs="Arial"/>
        </w:rPr>
        <w:footnoteReference w:id="38"/>
      </w:r>
      <w:r>
        <w:t>。委員会は、国内人権機関と独立した監視メカニズ</w:t>
      </w:r>
      <w:r>
        <w:rPr>
          <w:rFonts w:hint="eastAsia"/>
        </w:rPr>
        <w:t>ムとの会議を開催し</w:t>
      </w:r>
      <w:r w:rsidR="00671C3D" w:rsidRPr="00F000F1">
        <w:rPr>
          <w:rStyle w:val="ac"/>
          <w:rFonts w:cs="Arial"/>
          <w:lang w:val="en-GB"/>
        </w:rPr>
        <w:footnoteReference w:id="39"/>
      </w:r>
      <w:r>
        <w:rPr>
          <w:rFonts w:hint="eastAsia"/>
        </w:rPr>
        <w:t>、報告手続きの全段階、一般的な議論と</w:t>
      </w:r>
      <w:r w:rsidR="00B61E9E">
        <w:rPr>
          <w:rFonts w:hint="eastAsia"/>
        </w:rPr>
        <w:t>一般的意見</w:t>
      </w:r>
      <w:r>
        <w:rPr>
          <w:rFonts w:hint="eastAsia"/>
        </w:rPr>
        <w:t>の日、</w:t>
      </w:r>
      <w:r w:rsidR="009223B7">
        <w:rPr>
          <w:rFonts w:hint="eastAsia"/>
        </w:rPr>
        <w:t>議定書に基づく通報と調査の手続き、および能力構築活動</w:t>
      </w:r>
      <w:r>
        <w:rPr>
          <w:rFonts w:hint="eastAsia"/>
        </w:rPr>
        <w:t>を含む委員会の</w:t>
      </w:r>
      <w:r w:rsidR="00DB218D">
        <w:rPr>
          <w:rFonts w:hint="eastAsia"/>
        </w:rPr>
        <w:t>活動に参加</w:t>
      </w:r>
      <w:r>
        <w:rPr>
          <w:rFonts w:hint="eastAsia"/>
        </w:rPr>
        <w:t>するよう奨励</w:t>
      </w:r>
      <w:r w:rsidR="00DB218D">
        <w:rPr>
          <w:rFonts w:hint="eastAsia"/>
        </w:rPr>
        <w:t>し</w:t>
      </w:r>
      <w:r w:rsidR="003F6448">
        <w:rPr>
          <w:rFonts w:hint="eastAsia"/>
        </w:rPr>
        <w:t>た</w:t>
      </w:r>
      <w:r w:rsidR="00671C3D" w:rsidRPr="00F000F1">
        <w:rPr>
          <w:rStyle w:val="ac"/>
          <w:rFonts w:cs="Arial"/>
        </w:rPr>
        <w:footnoteReference w:id="40"/>
      </w:r>
      <w:r w:rsidR="00DB218D">
        <w:rPr>
          <w:rFonts w:hint="eastAsia"/>
        </w:rPr>
        <w:t>。</w:t>
      </w:r>
      <w:r>
        <w:rPr>
          <w:rFonts w:hint="eastAsia"/>
        </w:rPr>
        <w:t>委員会の第</w:t>
      </w:r>
      <w:r>
        <w:t>19</w:t>
      </w:r>
      <w:r w:rsidR="009223B7">
        <w:rPr>
          <w:rFonts w:hint="eastAsia"/>
        </w:rPr>
        <w:t>会期</w:t>
      </w:r>
      <w:r w:rsidR="00745516">
        <w:rPr>
          <w:rFonts w:hint="eastAsia"/>
        </w:rPr>
        <w:t>には</w:t>
      </w:r>
      <w:r>
        <w:t>、</w:t>
      </w:r>
      <w:r w:rsidR="00745516">
        <w:t>GANHRI</w:t>
      </w:r>
      <w:r w:rsidR="00745516">
        <w:rPr>
          <w:rFonts w:hint="eastAsia"/>
        </w:rPr>
        <w:t>（</w:t>
      </w:r>
      <w:r w:rsidR="009223B7">
        <w:rPr>
          <w:rFonts w:hint="eastAsia"/>
        </w:rPr>
        <w:t>国内</w:t>
      </w:r>
      <w:r>
        <w:t>人権機関</w:t>
      </w:r>
      <w:r w:rsidR="00745516">
        <w:rPr>
          <w:rFonts w:hint="eastAsia"/>
        </w:rPr>
        <w:t>世界連合）</w:t>
      </w:r>
      <w:r>
        <w:t>と</w:t>
      </w:r>
      <w:r w:rsidR="00745516">
        <w:rPr>
          <w:rFonts w:hint="eastAsia"/>
        </w:rPr>
        <w:t>の</w:t>
      </w:r>
      <w:r>
        <w:t>協力</w:t>
      </w:r>
      <w:r w:rsidR="00745516">
        <w:rPr>
          <w:rFonts w:hint="eastAsia"/>
        </w:rPr>
        <w:t>で、</w:t>
      </w:r>
      <w:r>
        <w:t>年</w:t>
      </w:r>
      <w:r w:rsidR="00745516">
        <w:rPr>
          <w:rFonts w:hint="eastAsia"/>
        </w:rPr>
        <w:t>1回の</w:t>
      </w:r>
      <w:r>
        <w:t>対話式の議論が行われ</w:t>
      </w:r>
      <w:r w:rsidR="003F6448">
        <w:t>た</w:t>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iv</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意識</w:t>
      </w:r>
      <w:r w:rsidR="00745516">
        <w:rPr>
          <w:rFonts w:ascii="ＭＳ ゴシック" w:eastAsia="ＭＳ ゴシック" w:hAnsi="ＭＳ ゴシック" w:hint="eastAsia"/>
          <w:b/>
          <w:bCs/>
        </w:rPr>
        <w:t>の</w:t>
      </w:r>
      <w:r w:rsidRPr="00FF6309">
        <w:rPr>
          <w:rFonts w:ascii="ＭＳ ゴシック" w:eastAsia="ＭＳ ゴシック" w:hAnsi="ＭＳ ゴシック"/>
          <w:b/>
          <w:bCs/>
        </w:rPr>
        <w:t>向上（第8条）</w:t>
      </w:r>
    </w:p>
    <w:p w:rsidR="00F87D84" w:rsidRDefault="00F87D84" w:rsidP="00AF1B71"/>
    <w:p w:rsidR="00AF1B71" w:rsidRDefault="00AF1B71" w:rsidP="00AF1B71">
      <w:r>
        <w:t>30.</w:t>
      </w:r>
      <w:r w:rsidR="005B4D8C">
        <w:t xml:space="preserve"> </w:t>
      </w:r>
      <w:r>
        <w:t>委員会は、意識</w:t>
      </w:r>
      <w:r w:rsidR="00745516">
        <w:rPr>
          <w:rFonts w:hint="eastAsia"/>
        </w:rPr>
        <w:t>の</w:t>
      </w:r>
      <w:r>
        <w:t>向上が条約の効果的な実施のための前提条件の1つであることに留意した</w:t>
      </w:r>
      <w:r w:rsidR="00671C3D" w:rsidRPr="00F000F1">
        <w:rPr>
          <w:rStyle w:val="ac"/>
          <w:rFonts w:cs="Arial"/>
        </w:rPr>
        <w:footnoteReference w:id="41"/>
      </w:r>
      <w:r>
        <w:t>。</w:t>
      </w:r>
      <w:r w:rsidR="00614188">
        <w:rPr>
          <w:rFonts w:hint="eastAsia"/>
        </w:rPr>
        <w:t>そのため</w:t>
      </w:r>
      <w:r>
        <w:t>委員会は</w:t>
      </w:r>
      <w:r w:rsidR="00614188">
        <w:rPr>
          <w:rFonts w:hint="eastAsia"/>
        </w:rPr>
        <w:t>、</w:t>
      </w:r>
      <w:r>
        <w:t>過去10年間に</w:t>
      </w:r>
      <w:r w:rsidR="00614188">
        <w:rPr>
          <w:rFonts w:hint="eastAsia"/>
        </w:rPr>
        <w:t>この点を</w:t>
      </w:r>
      <w:r>
        <w:t>何度も</w:t>
      </w:r>
      <w:r w:rsidR="00614188">
        <w:rPr>
          <w:rFonts w:hint="eastAsia"/>
        </w:rPr>
        <w:t>取り上げた。</w:t>
      </w:r>
      <w:r w:rsidR="00A73A2E">
        <w:rPr>
          <w:rFonts w:hint="eastAsia"/>
        </w:rPr>
        <w:t>第8条は、</w:t>
      </w:r>
      <w:r w:rsidR="00A73A2E">
        <w:t>実際には、締約国にさまざまな義務</w:t>
      </w:r>
      <w:r w:rsidR="00A73A2E">
        <w:rPr>
          <w:rFonts w:hint="eastAsia"/>
        </w:rPr>
        <w:t>を課している。</w:t>
      </w:r>
      <w:r w:rsidR="000D6112">
        <w:rPr>
          <w:rFonts w:hint="eastAsia"/>
        </w:rPr>
        <w:t>この条項は、</w:t>
      </w:r>
      <w:r>
        <w:t>条約</w:t>
      </w:r>
      <w:r w:rsidR="00A73A2E">
        <w:rPr>
          <w:rFonts w:hint="eastAsia"/>
        </w:rPr>
        <w:t>の下での</w:t>
      </w:r>
      <w:r>
        <w:t>権利</w:t>
      </w:r>
      <w:r w:rsidR="00A73A2E">
        <w:rPr>
          <w:rFonts w:hint="eastAsia"/>
        </w:rPr>
        <w:t>についての</w:t>
      </w:r>
      <w:r w:rsidR="00274DCA">
        <w:rPr>
          <w:rFonts w:hint="eastAsia"/>
        </w:rPr>
        <w:t>障害のある人</w:t>
      </w:r>
      <w:r w:rsidR="00A73A2E">
        <w:rPr>
          <w:rFonts w:hint="eastAsia"/>
        </w:rPr>
        <w:t>の意識の向上</w:t>
      </w:r>
      <w:r>
        <w:t>だけでなく、</w:t>
      </w:r>
      <w:r w:rsidR="000D6112">
        <w:t>専門家および一般市民</w:t>
      </w:r>
      <w:r w:rsidR="000D6112">
        <w:rPr>
          <w:rFonts w:hint="eastAsia"/>
        </w:rPr>
        <w:t>に対する、</w:t>
      </w:r>
      <w:r>
        <w:t>差別を防止および</w:t>
      </w:r>
      <w:r w:rsidR="00A73A2E">
        <w:rPr>
          <w:rFonts w:hint="eastAsia"/>
        </w:rPr>
        <w:t>解消</w:t>
      </w:r>
      <w:r>
        <w:t>するための</w:t>
      </w:r>
      <w:r w:rsidR="00A73A2E">
        <w:rPr>
          <w:rFonts w:hint="eastAsia"/>
        </w:rPr>
        <w:t>、および</w:t>
      </w:r>
      <w:r w:rsidR="000D6112">
        <w:rPr>
          <w:rFonts w:hint="eastAsia"/>
        </w:rPr>
        <w:t>より一般的な</w:t>
      </w:r>
      <w:r>
        <w:t>根強い文化的信念、否定的な態度、いじめ、</w:t>
      </w:r>
      <w:r w:rsidR="000D6112">
        <w:rPr>
          <w:rFonts w:hint="eastAsia"/>
        </w:rPr>
        <w:t>ウエッブによる</w:t>
      </w:r>
      <w:r>
        <w:t>いじめ、</w:t>
      </w:r>
      <w:r w:rsidR="000D6112">
        <w:rPr>
          <w:rFonts w:hint="eastAsia"/>
        </w:rPr>
        <w:t>ヘイトクライム、</w:t>
      </w:r>
      <w:r>
        <w:t>差別的な</w:t>
      </w:r>
      <w:r w:rsidR="000D6112">
        <w:rPr>
          <w:rFonts w:hint="eastAsia"/>
        </w:rPr>
        <w:t>用語</w:t>
      </w:r>
      <w:r>
        <w:t>を含む、</w:t>
      </w:r>
      <w:r w:rsidR="000D6112">
        <w:rPr>
          <w:rFonts w:hint="eastAsia"/>
        </w:rPr>
        <w:t>固定観念</w:t>
      </w:r>
      <w:r>
        <w:t>、偏見、有害な慣行と闘う</w:t>
      </w:r>
      <w:r w:rsidR="000D6112">
        <w:rPr>
          <w:rFonts w:hint="eastAsia"/>
        </w:rPr>
        <w:t>ための意識の向上</w:t>
      </w:r>
      <w:r w:rsidR="000D6112">
        <w:t>に関連している</w:t>
      </w:r>
      <w:r w:rsidR="00671C3D" w:rsidRPr="00F000F1">
        <w:rPr>
          <w:rStyle w:val="ac"/>
          <w:rFonts w:cs="Arial"/>
        </w:rPr>
        <w:footnoteReference w:id="42"/>
      </w:r>
      <w:r w:rsidR="000D6112">
        <w:rPr>
          <w:rFonts w:hint="eastAsia"/>
        </w:rPr>
        <w:t>。</w:t>
      </w:r>
      <w:r w:rsidR="001250C7">
        <w:rPr>
          <w:rFonts w:hint="eastAsia"/>
        </w:rPr>
        <w:t xml:space="preserve">　</w:t>
      </w:r>
    </w:p>
    <w:p w:rsidR="00F87D84" w:rsidRDefault="00F87D84" w:rsidP="00AF1B71"/>
    <w:p w:rsidR="00AF1B71" w:rsidRDefault="00AF1B71" w:rsidP="00AF1B71">
      <w:r w:rsidRPr="001250C7">
        <w:t>31.</w:t>
      </w:r>
      <w:r w:rsidR="005B4D8C" w:rsidRPr="001250C7">
        <w:t xml:space="preserve"> </w:t>
      </w:r>
      <w:r w:rsidRPr="001250C7">
        <w:t>委員会が採択</w:t>
      </w:r>
      <w:r>
        <w:t>したすべての</w:t>
      </w:r>
      <w:r w:rsidR="00B61E9E">
        <w:t>一般的意見</w:t>
      </w:r>
      <w:r>
        <w:t>は、意識</w:t>
      </w:r>
      <w:r w:rsidR="000D6112">
        <w:rPr>
          <w:rFonts w:hint="eastAsia"/>
        </w:rPr>
        <w:t>の</w:t>
      </w:r>
      <w:r>
        <w:t>向上に言及</w:t>
      </w:r>
      <w:r w:rsidR="000D6112">
        <w:rPr>
          <w:rFonts w:hint="eastAsia"/>
        </w:rPr>
        <w:t>し</w:t>
      </w:r>
      <w:r>
        <w:t>て</w:t>
      </w:r>
      <w:r w:rsidR="003F6448">
        <w:t>いる</w:t>
      </w:r>
      <w:r>
        <w:t>。例えば、委員会は、認識</w:t>
      </w:r>
      <w:r w:rsidR="00F7548E">
        <w:rPr>
          <w:rFonts w:hint="eastAsia"/>
        </w:rPr>
        <w:t>の</w:t>
      </w:r>
      <w:r>
        <w:t>不足</w:t>
      </w:r>
      <w:r w:rsidR="00F7548E">
        <w:t>または</w:t>
      </w:r>
      <w:r w:rsidR="00F7548E">
        <w:rPr>
          <w:rFonts w:hint="eastAsia"/>
        </w:rPr>
        <w:t>欠如</w:t>
      </w:r>
      <w:r>
        <w:t>が、アクセシビリティの欠如</w:t>
      </w:r>
      <w:r w:rsidR="00F7548E">
        <w:rPr>
          <w:rFonts w:hint="eastAsia"/>
        </w:rPr>
        <w:t>の原因の一つであり</w:t>
      </w:r>
      <w:r w:rsidR="001250C7" w:rsidRPr="00F000F1">
        <w:rPr>
          <w:rStyle w:val="ac"/>
          <w:rFonts w:cs="Arial"/>
        </w:rPr>
        <w:footnoteReference w:id="43"/>
      </w:r>
      <w:r w:rsidR="00F7548E">
        <w:rPr>
          <w:rFonts w:hint="eastAsia"/>
        </w:rPr>
        <w:t>、</w:t>
      </w:r>
      <w:r w:rsidR="00274DCA">
        <w:t>障害のある人</w:t>
      </w:r>
      <w:r>
        <w:t>に関する</w:t>
      </w:r>
      <w:r w:rsidR="000D6112">
        <w:rPr>
          <w:rFonts w:hint="eastAsia"/>
        </w:rPr>
        <w:t>固定観念</w:t>
      </w:r>
      <w:r>
        <w:t>、誤解、偏見および有害な慣行に関連する構造的または</w:t>
      </w:r>
      <w:r w:rsidR="00F7548E">
        <w:rPr>
          <w:rFonts w:hint="eastAsia"/>
        </w:rPr>
        <w:t>体系的</w:t>
      </w:r>
      <w:r>
        <w:t>差別の原因の一つである</w:t>
      </w:r>
      <w:r w:rsidR="001250C7" w:rsidRPr="00F000F1">
        <w:rPr>
          <w:rStyle w:val="ac"/>
          <w:rFonts w:cs="Arial"/>
        </w:rPr>
        <w:footnoteReference w:id="44"/>
      </w:r>
      <w:r>
        <w:t>ことを強調した</w:t>
      </w:r>
      <w:r w:rsidR="001250C7" w:rsidRPr="00F000F1">
        <w:rPr>
          <w:rStyle w:val="ac"/>
          <w:rFonts w:cs="Arial"/>
        </w:rPr>
        <w:footnoteReference w:id="45"/>
      </w:r>
      <w:r>
        <w:t>。したがって、</w:t>
      </w:r>
      <w:r w:rsidR="00274DCA">
        <w:t>障害のある人</w:t>
      </w:r>
      <w:r>
        <w:t>の権利およびアクセシビリティ</w:t>
      </w:r>
      <w:r w:rsidR="001250C7" w:rsidRPr="00F000F1">
        <w:rPr>
          <w:rStyle w:val="ac"/>
          <w:rFonts w:cs="Arial"/>
        </w:rPr>
        <w:footnoteReference w:id="46"/>
      </w:r>
      <w:r>
        <w:t>や合理的配慮などの条約のさまざまな側面に関するすべての関係者の</w:t>
      </w:r>
      <w:r w:rsidR="00F7548E">
        <w:rPr>
          <w:rFonts w:hint="eastAsia"/>
        </w:rPr>
        <w:t>訓練</w:t>
      </w:r>
      <w:r>
        <w:t>が不可欠</w:t>
      </w:r>
      <w:r w:rsidR="003F6448">
        <w:t>である</w:t>
      </w:r>
      <w:r>
        <w:t>。委員会は、</w:t>
      </w:r>
      <w:r w:rsidR="00274DCA">
        <w:t>障害のある人</w:t>
      </w:r>
      <w:r>
        <w:t>とその代表組織と協力して</w:t>
      </w:r>
      <w:r w:rsidR="00F7548E">
        <w:rPr>
          <w:rFonts w:hint="eastAsia"/>
        </w:rPr>
        <w:t>意識向上</w:t>
      </w:r>
      <w:r>
        <w:t>活動を行うべきであると繰り返し示した</w:t>
      </w:r>
      <w:r w:rsidR="001250C7" w:rsidRPr="00F000F1">
        <w:rPr>
          <w:rStyle w:val="ac"/>
          <w:rFonts w:cs="Arial"/>
        </w:rPr>
        <w:footnoteReference w:id="47"/>
      </w:r>
      <w:r>
        <w:t>。</w:t>
      </w:r>
      <w:r>
        <w:rPr>
          <w:rFonts w:hint="eastAsia"/>
        </w:rPr>
        <w:t>委員会はまた、メディアに対し、条約の目的に沿った方法で</w:t>
      </w:r>
      <w:r w:rsidR="00274DCA">
        <w:rPr>
          <w:rFonts w:hint="eastAsia"/>
        </w:rPr>
        <w:t>障害のある人</w:t>
      </w:r>
      <w:r>
        <w:rPr>
          <w:rFonts w:hint="eastAsia"/>
        </w:rPr>
        <w:t>を描写し、</w:t>
      </w:r>
      <w:r w:rsidR="00274DCA">
        <w:rPr>
          <w:rFonts w:hint="eastAsia"/>
        </w:rPr>
        <w:t>障害のある人</w:t>
      </w:r>
      <w:r w:rsidR="00F7548E">
        <w:rPr>
          <w:rFonts w:hint="eastAsia"/>
        </w:rPr>
        <w:t>に対する</w:t>
      </w:r>
      <w:r>
        <w:rPr>
          <w:rFonts w:hint="eastAsia"/>
        </w:rPr>
        <w:t>有害な</w:t>
      </w:r>
      <w:r w:rsidR="00F7548E">
        <w:rPr>
          <w:rFonts w:hint="eastAsia"/>
        </w:rPr>
        <w:t>見方</w:t>
      </w:r>
      <w:r>
        <w:rPr>
          <w:rFonts w:hint="eastAsia"/>
        </w:rPr>
        <w:t>を修正するよう奨励した</w:t>
      </w:r>
      <w:r w:rsidR="001250C7" w:rsidRPr="00F000F1">
        <w:rPr>
          <w:rStyle w:val="ac"/>
          <w:rFonts w:cs="Arial"/>
        </w:rPr>
        <w:footnoteReference w:id="48"/>
      </w:r>
      <w:r>
        <w:rPr>
          <w:rFonts w:hint="eastAsia"/>
        </w:rP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CA4D49">
        <w:rPr>
          <w:rFonts w:ascii="ＭＳ ゴシック" w:eastAsia="ＭＳ ゴシック" w:hAnsi="ＭＳ ゴシック"/>
          <w:b/>
          <w:bCs/>
        </w:rPr>
        <w:t>v</w:t>
      </w:r>
      <w:r w:rsidR="00720EAA" w:rsidRPr="00CA4D49">
        <w:rPr>
          <w:rFonts w:ascii="ＭＳ ゴシック" w:eastAsia="ＭＳ ゴシック" w:hAnsi="ＭＳ ゴシック"/>
          <w:b/>
          <w:bCs/>
        </w:rPr>
        <w:t>.</w:t>
      </w:r>
      <w:r w:rsidR="005B4D8C" w:rsidRPr="00CA4D49">
        <w:rPr>
          <w:rFonts w:ascii="ＭＳ ゴシック" w:eastAsia="ＭＳ ゴシック" w:hAnsi="ＭＳ ゴシック"/>
          <w:b/>
          <w:bCs/>
        </w:rPr>
        <w:t xml:space="preserve"> </w:t>
      </w:r>
      <w:r w:rsidRPr="00CA4D49">
        <w:rPr>
          <w:rFonts w:ascii="ＭＳ ゴシック" w:eastAsia="ＭＳ ゴシック" w:hAnsi="ＭＳ ゴシック"/>
          <w:b/>
          <w:bCs/>
        </w:rPr>
        <w:t>データ収集（31条）</w:t>
      </w:r>
    </w:p>
    <w:p w:rsidR="00F87D84" w:rsidRDefault="00F87D84" w:rsidP="00AF1B71"/>
    <w:p w:rsidR="00AF1B71" w:rsidRDefault="00AF1B71" w:rsidP="00AF1B71">
      <w:r>
        <w:t>32.</w:t>
      </w:r>
      <w:r w:rsidR="005B4D8C">
        <w:t xml:space="preserve"> </w:t>
      </w:r>
      <w:r>
        <w:t>締約国による</w:t>
      </w:r>
      <w:r w:rsidR="007F3B19">
        <w:rPr>
          <w:rFonts w:hint="eastAsia"/>
        </w:rPr>
        <w:t>分類</w:t>
      </w:r>
      <w:r>
        <w:t>されたデータと統計の収集と分析は、条約の効果的な実施と監視に不可欠である</w:t>
      </w:r>
      <w:r w:rsidR="001250C7" w:rsidRPr="00F000F1">
        <w:rPr>
          <w:rStyle w:val="ac"/>
          <w:rFonts w:cs="Arial"/>
        </w:rPr>
        <w:footnoteReference w:id="49"/>
      </w:r>
      <w:r>
        <w:t>。委員会は、締約国に対し、さまざまな問題に</w:t>
      </w:r>
      <w:r w:rsidR="00CA4D49">
        <w:rPr>
          <w:rFonts w:hint="eastAsia"/>
        </w:rPr>
        <w:t>関して</w:t>
      </w:r>
      <w:r>
        <w:t>、また条約のさまざまな条項の下で</w:t>
      </w:r>
      <w:r w:rsidR="00CA4D49">
        <w:rPr>
          <w:rFonts w:hint="eastAsia"/>
        </w:rPr>
        <w:t>、分類</w:t>
      </w:r>
      <w:r>
        <w:t>されたデータを収集するよう要請した。委員会は</w:t>
      </w:r>
      <w:r w:rsidR="007A217D">
        <w:rPr>
          <w:rFonts w:hint="eastAsia"/>
        </w:rPr>
        <w:t>総括所見</w:t>
      </w:r>
      <w:r>
        <w:t>において、締約国に対し、</w:t>
      </w:r>
      <w:r w:rsidR="00CA4D49">
        <w:t>条約の</w:t>
      </w:r>
      <w:r>
        <w:t>第1</w:t>
      </w:r>
      <w:r>
        <w:rPr>
          <w:rFonts w:hint="eastAsia"/>
        </w:rPr>
        <w:t>〜</w:t>
      </w:r>
      <w:r>
        <w:t>4、5、6、7、11、12、13、14、16、17、19、23、24、25、27、28、29</w:t>
      </w:r>
      <w:r w:rsidR="00CA4D49">
        <w:rPr>
          <w:rFonts w:hint="eastAsia"/>
        </w:rPr>
        <w:t>、</w:t>
      </w:r>
      <w:r w:rsidR="00CA4D49">
        <w:t>31および32</w:t>
      </w:r>
      <w:r>
        <w:t>条に基づくデータ収集を</w:t>
      </w:r>
      <w:r w:rsidR="00CA4D49">
        <w:rPr>
          <w:rFonts w:hint="eastAsia"/>
        </w:rPr>
        <w:t>勧告</w:t>
      </w:r>
      <w:r>
        <w:t>した。</w:t>
      </w:r>
    </w:p>
    <w:p w:rsidR="00AF1B71" w:rsidRDefault="00AF1B71" w:rsidP="00AF1B71"/>
    <w:p w:rsidR="00AF1B71" w:rsidRDefault="00AF1B71" w:rsidP="00AF1B71">
      <w:r>
        <w:t>33.</w:t>
      </w:r>
      <w:r w:rsidR="005B4D8C">
        <w:t xml:space="preserve"> </w:t>
      </w:r>
      <w:r>
        <w:t>委員会は、調査や「その他の分析</w:t>
      </w:r>
      <w:r w:rsidR="00CA4D49">
        <w:rPr>
          <w:rFonts w:hint="eastAsia"/>
        </w:rPr>
        <w:t>方法</w:t>
      </w:r>
      <w:r>
        <w:t>」</w:t>
      </w:r>
      <w:r w:rsidR="001250C7" w:rsidRPr="00F000F1">
        <w:rPr>
          <w:rStyle w:val="ac"/>
          <w:rFonts w:cs="Arial"/>
        </w:rPr>
        <w:footnoteReference w:id="50"/>
      </w:r>
      <w:r>
        <w:t>を使用してデータを収集する可能性があり、統計、物語</w:t>
      </w:r>
      <w:r w:rsidR="00A32912">
        <w:rPr>
          <w:rFonts w:hint="eastAsia"/>
        </w:rPr>
        <w:t>（</w:t>
      </w:r>
      <w:r w:rsidR="00A32912" w:rsidRPr="00A32912">
        <w:t>narratives</w:t>
      </w:r>
      <w:r w:rsidR="00A32912">
        <w:rPr>
          <w:rFonts w:hint="eastAsia"/>
        </w:rPr>
        <w:t>）</w:t>
      </w:r>
      <w:r>
        <w:t>、指標などのその他の形式のデータを幅広くカバーする必要がある</w:t>
      </w:r>
      <w:r w:rsidR="00A32912">
        <w:rPr>
          <w:rFonts w:hint="eastAsia"/>
        </w:rPr>
        <w:t>とした</w:t>
      </w:r>
      <w:r w:rsidR="001250C7" w:rsidRPr="00F000F1">
        <w:rPr>
          <w:rStyle w:val="ac"/>
          <w:rFonts w:cs="Arial"/>
        </w:rPr>
        <w:footnoteReference w:id="51"/>
      </w:r>
      <w:r w:rsidR="00A32912">
        <w:rPr>
          <w:rFonts w:hint="eastAsia"/>
        </w:rPr>
        <w:t>。</w:t>
      </w:r>
      <w:r>
        <w:t>データは、障害および年齢、性別、その他の関連</w:t>
      </w:r>
      <w:r w:rsidR="00A32912">
        <w:rPr>
          <w:rFonts w:hint="eastAsia"/>
        </w:rPr>
        <w:t>要素</w:t>
      </w:r>
      <w:r>
        <w:t>を含む共通カテゴリ</w:t>
      </w:r>
      <w:r w:rsidR="001250C7" w:rsidRPr="00F000F1">
        <w:rPr>
          <w:rStyle w:val="ac"/>
          <w:rFonts w:cs="Arial"/>
        </w:rPr>
        <w:footnoteReference w:id="52"/>
      </w:r>
      <w:r>
        <w:t>に基づいて体系的に</w:t>
      </w:r>
      <w:r w:rsidR="00A32912">
        <w:rPr>
          <w:rFonts w:hint="eastAsia"/>
        </w:rPr>
        <w:t>分類</w:t>
      </w:r>
      <w:r>
        <w:t>する必要が</w:t>
      </w:r>
      <w:r w:rsidR="003F6448">
        <w:t>ある</w:t>
      </w:r>
      <w:r w:rsidR="001250C7" w:rsidRPr="00F000F1">
        <w:rPr>
          <w:rStyle w:val="ac"/>
          <w:rFonts w:cs="Arial"/>
        </w:rPr>
        <w:footnoteReference w:id="53"/>
      </w:r>
      <w:r>
        <w:t>。実際には委員会は</w:t>
      </w:r>
      <w:r w:rsidR="00A32912">
        <w:rPr>
          <w:rFonts w:hint="eastAsia"/>
        </w:rPr>
        <w:t>、</w:t>
      </w:r>
      <w:r>
        <w:t>人種、民族、宗教、</w:t>
      </w:r>
      <w:r w:rsidR="00A32912">
        <w:rPr>
          <w:rFonts w:hint="eastAsia"/>
        </w:rPr>
        <w:t>移民関連</w:t>
      </w:r>
      <w:r>
        <w:t>状況、地理的位置、社会経済状況、雇用状況、収入、居住地、先住民コミュニティ、性的指向</w:t>
      </w:r>
      <w:r w:rsidR="00406DBC">
        <w:rPr>
          <w:rFonts w:hint="eastAsia"/>
        </w:rPr>
        <w:t>性を</w:t>
      </w:r>
      <w:r>
        <w:t>含</w:t>
      </w:r>
      <w:r w:rsidR="00406DBC">
        <w:rPr>
          <w:rFonts w:hint="eastAsia"/>
        </w:rPr>
        <w:t>めた</w:t>
      </w:r>
      <w:r>
        <w:t>。委員会は、一般</w:t>
      </w:r>
      <w:r w:rsidR="00406DBC">
        <w:rPr>
          <w:rFonts w:hint="eastAsia"/>
        </w:rPr>
        <w:t>的意見</w:t>
      </w:r>
      <w:r>
        <w:t>第6号で、「</w:t>
      </w:r>
      <w:r w:rsidR="00406DBC">
        <w:rPr>
          <w:rFonts w:hint="eastAsia"/>
        </w:rPr>
        <w:t>機能</w:t>
      </w:r>
      <w:r>
        <w:t>障害、</w:t>
      </w:r>
      <w:r w:rsidR="00406DBC">
        <w:rPr>
          <w:rFonts w:hint="eastAsia"/>
        </w:rPr>
        <w:t>ジェンダー</w:t>
      </w:r>
      <w:r>
        <w:t>、性別、性</w:t>
      </w:r>
      <w:r w:rsidR="00406DBC">
        <w:rPr>
          <w:rFonts w:hint="eastAsia"/>
        </w:rPr>
        <w:t>自認（</w:t>
      </w:r>
      <w:r w:rsidR="00406DBC" w:rsidRPr="00406DBC">
        <w:t>gender identity</w:t>
      </w:r>
      <w:r w:rsidR="00406DBC">
        <w:rPr>
          <w:rFonts w:hint="eastAsia"/>
        </w:rPr>
        <w:t>）</w:t>
      </w:r>
      <w:r>
        <w:t>、民族、宗教、年齢、または他の</w:t>
      </w:r>
      <w:r w:rsidR="00406DBC">
        <w:rPr>
          <w:rFonts w:hint="eastAsia"/>
        </w:rPr>
        <w:t>アイデンティティ</w:t>
      </w:r>
      <w:r>
        <w:rPr>
          <w:rFonts w:hint="eastAsia"/>
        </w:rPr>
        <w:t>の層」</w:t>
      </w:r>
      <w:r w:rsidR="001250C7" w:rsidRPr="00F000F1">
        <w:rPr>
          <w:rStyle w:val="ac"/>
          <w:rFonts w:cs="Arial"/>
        </w:rPr>
        <w:footnoteReference w:id="54"/>
      </w:r>
      <w:r>
        <w:rPr>
          <w:rFonts w:hint="eastAsia"/>
        </w:rPr>
        <w:t>に従って</w:t>
      </w:r>
      <w:r w:rsidR="00406DBC">
        <w:rPr>
          <w:rFonts w:hint="eastAsia"/>
        </w:rPr>
        <w:t>区別す</w:t>
      </w:r>
      <w:r>
        <w:rPr>
          <w:rFonts w:hint="eastAsia"/>
        </w:rPr>
        <w:t>べきであると指摘した。</w:t>
      </w:r>
      <w:r w:rsidR="00274DCA">
        <w:rPr>
          <w:rFonts w:hint="eastAsia"/>
        </w:rPr>
        <w:t>障害のある人</w:t>
      </w:r>
      <w:r>
        <w:rPr>
          <w:rFonts w:hint="eastAsia"/>
        </w:rPr>
        <w:t>の代表組織は、データの設計、収集、分析</w:t>
      </w:r>
      <w:r w:rsidR="001250C7" w:rsidRPr="00F000F1">
        <w:rPr>
          <w:rStyle w:val="ac"/>
          <w:rFonts w:cs="Arial"/>
        </w:rPr>
        <w:footnoteReference w:id="55"/>
      </w:r>
      <w:r>
        <w:rPr>
          <w:rFonts w:hint="eastAsia"/>
        </w:rPr>
        <w:t>、および普及に関与する必要が</w:t>
      </w:r>
      <w:r w:rsidR="003F6448">
        <w:rPr>
          <w:rFonts w:hint="eastAsia"/>
        </w:rPr>
        <w:t>ある</w:t>
      </w:r>
      <w:r w:rsidR="001250C7" w:rsidRPr="00F000F1">
        <w:rPr>
          <w:rStyle w:val="ac"/>
          <w:rFonts w:cs="Arial"/>
        </w:rPr>
        <w:footnoteReference w:id="56"/>
      </w:r>
      <w:r>
        <w:rPr>
          <w:rFonts w:hint="eastAsia"/>
        </w:rPr>
        <w:t>。</w:t>
      </w:r>
      <w:r>
        <w:t>2017年</w:t>
      </w:r>
      <w:r w:rsidR="001250C7" w:rsidRPr="00F000F1">
        <w:rPr>
          <w:rStyle w:val="ac"/>
          <w:rFonts w:cs="Arial"/>
        </w:rPr>
        <w:footnoteReference w:id="57"/>
      </w:r>
      <w:r>
        <w:t>、委員会は、障害者統計に関するワシントングループが開発した質問</w:t>
      </w:r>
      <w:r w:rsidR="00406DBC">
        <w:rPr>
          <w:rFonts w:hint="eastAsia"/>
        </w:rPr>
        <w:t>セット</w:t>
      </w:r>
      <w:r>
        <w:t>とツールを使用して、</w:t>
      </w:r>
      <w:r w:rsidR="00406DBC">
        <w:rPr>
          <w:rFonts w:hint="eastAsia"/>
        </w:rPr>
        <w:t>比較可能な</w:t>
      </w:r>
      <w:r>
        <w:t>障害</w:t>
      </w:r>
      <w:r w:rsidR="00406DBC">
        <w:rPr>
          <w:rFonts w:hint="eastAsia"/>
        </w:rPr>
        <w:t>者</w:t>
      </w:r>
      <w:r>
        <w:t>統計を収集することを締約国に</w:t>
      </w:r>
      <w:r w:rsidR="00406DBC">
        <w:rPr>
          <w:rFonts w:hint="eastAsia"/>
        </w:rPr>
        <w:t>勧告</w:t>
      </w:r>
      <w:r>
        <w:t>し始め</w:t>
      </w:r>
      <w:r w:rsidR="003F6448">
        <w:t>た</w:t>
      </w:r>
      <w:r w:rsidR="001250C7" w:rsidRPr="00F000F1">
        <w:rPr>
          <w:rStyle w:val="ac"/>
          <w:rFonts w:cs="Arial"/>
        </w:rPr>
        <w:footnoteReference w:id="58"/>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vi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国際協力（第32条）</w:t>
      </w:r>
    </w:p>
    <w:p w:rsidR="00F87D84" w:rsidRDefault="00F87D84" w:rsidP="00AF1B71"/>
    <w:p w:rsidR="00AF1B71" w:rsidRDefault="00AF1B71" w:rsidP="00AF1B71">
      <w:r>
        <w:t>34.</w:t>
      </w:r>
      <w:r w:rsidR="005B4D8C">
        <w:t xml:space="preserve"> </w:t>
      </w:r>
      <w:r>
        <w:t xml:space="preserve"> CRPD</w:t>
      </w:r>
      <w:r w:rsidR="00C258B4">
        <w:rPr>
          <w:rFonts w:hint="eastAsia"/>
        </w:rPr>
        <w:t>は</w:t>
      </w:r>
      <w:r>
        <w:t>第32条</w:t>
      </w:r>
      <w:r w:rsidR="00C258B4">
        <w:rPr>
          <w:rFonts w:hint="eastAsia"/>
        </w:rPr>
        <w:t>で</w:t>
      </w:r>
      <w:r>
        <w:t>、「締約国は、[…]条約の目的と</w:t>
      </w:r>
      <w:r w:rsidR="00C258B4">
        <w:rPr>
          <w:rFonts w:hint="eastAsia"/>
        </w:rPr>
        <w:t>趣旨</w:t>
      </w:r>
      <w:r>
        <w:t>の実現に向けた国内努力を支援するために、国際協力とその促進の重要性を認識する。」</w:t>
      </w:r>
      <w:r w:rsidR="00C258B4">
        <w:rPr>
          <w:rFonts w:hint="eastAsia"/>
        </w:rPr>
        <w:t>としている。</w:t>
      </w:r>
      <w:r>
        <w:t>国際協力は</w:t>
      </w:r>
      <w:r w:rsidR="00C258B4">
        <w:t>障害者の権利を促進し、条約を実施する</w:t>
      </w:r>
      <w:r>
        <w:t>ツールとして使用されるべきである。アクセシビリティに関する</w:t>
      </w:r>
      <w:r w:rsidR="00B61E9E">
        <w:t>一般的意見</w:t>
      </w:r>
      <w:r>
        <w:t>No. 2では、委員会は、国際協力がアクセシビリティとユニバーサルデザインの促進のツールとして使用される可能性があることを示</w:t>
      </w:r>
      <w:r w:rsidR="003F6448">
        <w:t>した</w:t>
      </w:r>
      <w:r w:rsidR="001250C7" w:rsidRPr="00F000F1">
        <w:rPr>
          <w:rStyle w:val="ac"/>
          <w:rFonts w:cs="Arial"/>
        </w:rPr>
        <w:footnoteReference w:id="59"/>
      </w:r>
      <w:r>
        <w:t>。たとえば、国際協力は、他の締約国、国際組織および</w:t>
      </w:r>
      <w:r w:rsidR="00C258B4">
        <w:rPr>
          <w:rFonts w:hint="eastAsia"/>
        </w:rPr>
        <w:t>国際</w:t>
      </w:r>
      <w:r>
        <w:t>機関と協力してアクセシビリティ標準を開発するために使用</w:t>
      </w:r>
      <w:r w:rsidR="003F6448">
        <w:t>できる</w:t>
      </w:r>
      <w:r w:rsidR="001250C7" w:rsidRPr="00F000F1">
        <w:rPr>
          <w:rStyle w:val="ac"/>
          <w:rFonts w:cs="Arial"/>
        </w:rPr>
        <w:footnoteReference w:id="60"/>
      </w:r>
      <w:r>
        <w:rPr>
          <w:rFonts w:hint="eastAsia"/>
        </w:rPr>
        <w:t>。また情報と「ノウハウ」を交換し、</w:t>
      </w:r>
      <w:r w:rsidR="0058340F">
        <w:rPr>
          <w:rFonts w:hint="eastAsia"/>
        </w:rPr>
        <w:t>好事例</w:t>
      </w:r>
      <w:r>
        <w:rPr>
          <w:rFonts w:hint="eastAsia"/>
        </w:rPr>
        <w:t>を共有する方法でも</w:t>
      </w:r>
      <w:r w:rsidR="003F6448">
        <w:rPr>
          <w:rFonts w:hint="eastAsia"/>
        </w:rPr>
        <w:t>ある</w:t>
      </w:r>
      <w:r w:rsidR="001250C7" w:rsidRPr="00F000F1">
        <w:rPr>
          <w:rStyle w:val="ac"/>
          <w:rFonts w:cs="Arial"/>
        </w:rPr>
        <w:footnoteReference w:id="61"/>
      </w:r>
      <w:r>
        <w:rPr>
          <w:rFonts w:hint="eastAsia"/>
        </w:rPr>
        <w:t>。委員会は、インクルーシブ教育に関する</w:t>
      </w:r>
      <w:r w:rsidR="00B61E9E">
        <w:rPr>
          <w:rFonts w:hint="eastAsia"/>
        </w:rPr>
        <w:t>一般的意見</w:t>
      </w:r>
      <w:r>
        <w:t>No.4で</w:t>
      </w:r>
      <w:r w:rsidR="0058340F">
        <w:rPr>
          <w:rFonts w:hint="eastAsia"/>
        </w:rPr>
        <w:t>もこの</w:t>
      </w:r>
      <w:r>
        <w:t>点に言及</w:t>
      </w:r>
      <w:r w:rsidR="003F6448">
        <w:t>した</w:t>
      </w:r>
      <w:r w:rsidR="001250C7" w:rsidRPr="00F000F1">
        <w:rPr>
          <w:rStyle w:val="ac"/>
          <w:rFonts w:cs="Arial"/>
        </w:rPr>
        <w:footnoteReference w:id="62"/>
      </w:r>
      <w:r w:rsidR="0058340F">
        <w:rPr>
          <w:rFonts w:hint="eastAsia"/>
        </w:rPr>
        <w:t>。</w:t>
      </w:r>
      <w:r>
        <w:t>平等および差別禁止に関する</w:t>
      </w:r>
      <w:r w:rsidR="00B61E9E">
        <w:t>一般的意見</w:t>
      </w:r>
      <w:r>
        <w:t>No.6</w:t>
      </w:r>
      <w:r w:rsidR="0058340F">
        <w:rPr>
          <w:rFonts w:hint="eastAsia"/>
        </w:rPr>
        <w:t>で</w:t>
      </w:r>
      <w:r>
        <w:t>は、すべての国際協力の取り組みは</w:t>
      </w:r>
      <w:r w:rsidR="00274DCA">
        <w:t>障害のある人</w:t>
      </w:r>
      <w:r>
        <w:t>を</w:t>
      </w:r>
      <w:r w:rsidR="0058340F">
        <w:rPr>
          <w:rFonts w:hint="eastAsia"/>
        </w:rPr>
        <w:t>含み込み</w:t>
      </w:r>
      <w:r>
        <w:t>、</w:t>
      </w:r>
      <w:r w:rsidR="00274DCA">
        <w:t>障害のある人</w:t>
      </w:r>
      <w:r>
        <w:t>にとってアクセシブル</w:t>
      </w:r>
      <w:r w:rsidR="0058340F">
        <w:rPr>
          <w:rFonts w:hint="eastAsia"/>
        </w:rPr>
        <w:t>なものであり</w:t>
      </w:r>
      <w:r>
        <w:t>、条約によって導かれ</w:t>
      </w:r>
      <w:r w:rsidR="0058340F">
        <w:rPr>
          <w:rFonts w:hint="eastAsia"/>
        </w:rPr>
        <w:t>る必要があると</w:t>
      </w:r>
      <w:r>
        <w:t>強調し</w:t>
      </w:r>
      <w:r w:rsidR="0058340F">
        <w:rPr>
          <w:rFonts w:hint="eastAsia"/>
        </w:rPr>
        <w:t>た</w:t>
      </w:r>
      <w:r w:rsidR="001250C7" w:rsidRPr="00F000F1">
        <w:rPr>
          <w:rStyle w:val="ac"/>
          <w:rFonts w:cs="Arial"/>
        </w:rPr>
        <w:footnoteReference w:id="63"/>
      </w:r>
      <w:r w:rsidR="0058340F">
        <w:rPr>
          <w:rFonts w:hint="eastAsia"/>
        </w:rPr>
        <w:t>。</w:t>
      </w:r>
    </w:p>
    <w:p w:rsidR="00F87D84" w:rsidRDefault="00F87D84" w:rsidP="00AF1B71"/>
    <w:p w:rsidR="00AF1B71" w:rsidRDefault="00AF1B71" w:rsidP="00AF1B71">
      <w:r>
        <w:t>35.</w:t>
      </w:r>
      <w:r w:rsidR="005B4D8C">
        <w:t xml:space="preserve"> </w:t>
      </w:r>
      <w:r>
        <w:t>委員会は、締約国が開発した国際協力措置は条約を完全に遵守しなければならないと強調した。公的資金を不平等の永続</w:t>
      </w:r>
      <w:r w:rsidR="0058340F">
        <w:rPr>
          <w:rFonts w:hint="eastAsia"/>
        </w:rPr>
        <w:t>化</w:t>
      </w:r>
      <w:r>
        <w:t>に使用することはでき</w:t>
      </w:r>
      <w:r w:rsidR="0058340F">
        <w:rPr>
          <w:rFonts w:hint="eastAsia"/>
        </w:rPr>
        <w:t>ない</w:t>
      </w:r>
      <w:r w:rsidR="005017C2" w:rsidRPr="00F000F1">
        <w:rPr>
          <w:rStyle w:val="ac"/>
          <w:rFonts w:cs="Arial"/>
        </w:rPr>
        <w:footnoteReference w:id="64"/>
      </w:r>
      <w:r>
        <w:t>。締約国は、国際協力の一環として行われる投資とプロジェクトが障壁の永続化に寄与しないことを保証しなければな</w:t>
      </w:r>
      <w:r w:rsidR="0058340F">
        <w:rPr>
          <w:rFonts w:hint="eastAsia"/>
        </w:rPr>
        <w:t>らない</w:t>
      </w:r>
      <w:r w:rsidR="005017C2" w:rsidRPr="00F000F1">
        <w:rPr>
          <w:rStyle w:val="ac"/>
          <w:rFonts w:cs="Arial"/>
        </w:rPr>
        <w:footnoteReference w:id="65"/>
      </w:r>
      <w:r>
        <w:t>。例えば、災害状況</w:t>
      </w:r>
      <w:r w:rsidR="0058340F">
        <w:rPr>
          <w:rFonts w:hint="eastAsia"/>
        </w:rPr>
        <w:t>後の</w:t>
      </w:r>
      <w:r>
        <w:t>国際協力の場合、国家は</w:t>
      </w:r>
      <w:r w:rsidR="00274DCA">
        <w:t>障害のある人</w:t>
      </w:r>
      <w:r>
        <w:t>の</w:t>
      </w:r>
      <w:r w:rsidR="0058340F">
        <w:rPr>
          <w:rFonts w:hint="eastAsia"/>
        </w:rPr>
        <w:t>施設的な場</w:t>
      </w:r>
      <w:r>
        <w:t>などの障壁を再構築</w:t>
      </w:r>
      <w:r w:rsidR="005017C2" w:rsidRPr="00F000F1">
        <w:rPr>
          <w:rStyle w:val="ac"/>
          <w:rFonts w:cs="Arial"/>
        </w:rPr>
        <w:footnoteReference w:id="66"/>
      </w:r>
      <w:r>
        <w:t>するために投資が使用されないことを保証しなければな</w:t>
      </w:r>
      <w:r w:rsidR="00352327">
        <w:rPr>
          <w:rFonts w:hint="eastAsia"/>
        </w:rPr>
        <w:t>らない</w:t>
      </w:r>
      <w:r w:rsidR="005017C2" w:rsidRPr="00F000F1">
        <w:rPr>
          <w:rStyle w:val="ac"/>
          <w:rFonts w:cs="Arial"/>
        </w:rPr>
        <w:footnoteReference w:id="67"/>
      </w:r>
      <w:r>
        <w:t>。</w:t>
      </w:r>
    </w:p>
    <w:p w:rsidR="00F87D84" w:rsidRDefault="00F87D84" w:rsidP="00AF1B71">
      <w:pPr>
        <w:rPr>
          <w:b/>
          <w:bCs/>
        </w:rPr>
      </w:pPr>
    </w:p>
    <w:p w:rsidR="00AF1B71" w:rsidRPr="005B4D8C" w:rsidRDefault="00AF1B71" w:rsidP="005B4D8C">
      <w:pPr>
        <w:pStyle w:val="a7"/>
        <w:numPr>
          <w:ilvl w:val="0"/>
          <w:numId w:val="3"/>
        </w:numPr>
        <w:ind w:leftChars="0"/>
        <w:rPr>
          <w:rFonts w:ascii="ＭＳ ゴシック" w:eastAsia="ＭＳ ゴシック" w:hAnsi="ＭＳ ゴシック"/>
          <w:b/>
          <w:bCs/>
        </w:rPr>
      </w:pPr>
      <w:r w:rsidRPr="005B4D8C">
        <w:rPr>
          <w:rFonts w:ascii="ＭＳ ゴシック" w:eastAsia="ＭＳ ゴシック" w:hAnsi="ＭＳ ゴシック"/>
          <w:b/>
          <w:bCs/>
        </w:rPr>
        <w:t>障害者とその代表組織の役割</w:t>
      </w:r>
    </w:p>
    <w:p w:rsidR="00F87D84" w:rsidRDefault="00F87D84" w:rsidP="00AF1B71">
      <w:pPr>
        <w:rPr>
          <w:b/>
          <w:bCs/>
        </w:rPr>
      </w:pPr>
    </w:p>
    <w:p w:rsidR="00AF1B71" w:rsidRPr="00FF6309" w:rsidRDefault="00FF6309" w:rsidP="00AF1B71">
      <w:pPr>
        <w:rPr>
          <w:rFonts w:ascii="ＭＳ ゴシック" w:eastAsia="ＭＳ ゴシック" w:hAnsi="ＭＳ ゴシック"/>
          <w:b/>
          <w:bCs/>
        </w:rPr>
      </w:pPr>
      <w:r>
        <w:rPr>
          <w:rFonts w:ascii="ＭＳ ゴシック" w:eastAsia="ＭＳ ゴシック" w:hAnsi="ＭＳ ゴシック" w:hint="eastAsia"/>
          <w:b/>
          <w:bCs/>
        </w:rPr>
        <w:t>i</w:t>
      </w:r>
      <w:r w:rsidR="00720EAA" w:rsidRPr="00FF6309">
        <w:rPr>
          <w:rFonts w:ascii="ＭＳ ゴシック" w:eastAsia="ＭＳ ゴシック" w:hAnsi="ＭＳ ゴシック" w:hint="eastAsia"/>
          <w:b/>
          <w:bCs/>
        </w:rPr>
        <w:t>.</w:t>
      </w:r>
      <w:r w:rsidR="005B4D8C">
        <w:rPr>
          <w:rFonts w:ascii="ＭＳ ゴシック" w:eastAsia="ＭＳ ゴシック" w:hAnsi="ＭＳ ゴシック"/>
          <w:b/>
          <w:bCs/>
        </w:rPr>
        <w:t xml:space="preserve"> </w:t>
      </w:r>
      <w:r w:rsidR="00AF1B71" w:rsidRPr="00FF6309">
        <w:rPr>
          <w:rFonts w:ascii="ＭＳ ゴシック" w:eastAsia="ＭＳ ゴシック" w:hAnsi="ＭＳ ゴシック" w:hint="eastAsia"/>
          <w:b/>
          <w:bCs/>
        </w:rPr>
        <w:t>国</w:t>
      </w:r>
      <w:r w:rsidR="00352327">
        <w:rPr>
          <w:rFonts w:ascii="ＭＳ ゴシック" w:eastAsia="ＭＳ ゴシック" w:hAnsi="ＭＳ ゴシック" w:hint="eastAsia"/>
          <w:b/>
          <w:bCs/>
        </w:rPr>
        <w:t>の</w:t>
      </w:r>
      <w:r w:rsidR="00AF1B71" w:rsidRPr="00FF6309">
        <w:rPr>
          <w:rFonts w:ascii="ＭＳ ゴシック" w:eastAsia="ＭＳ ゴシック" w:hAnsi="ＭＳ ゴシック" w:hint="eastAsia"/>
          <w:b/>
          <w:bCs/>
        </w:rPr>
        <w:t>レベルでの条約の実施と</w:t>
      </w:r>
      <w:r w:rsidR="003E20C9">
        <w:rPr>
          <w:rFonts w:ascii="ＭＳ ゴシック" w:eastAsia="ＭＳ ゴシック" w:hAnsi="ＭＳ ゴシック" w:hint="eastAsia"/>
          <w:b/>
          <w:bCs/>
        </w:rPr>
        <w:t>監視</w:t>
      </w:r>
      <w:r w:rsidR="00AF1B71" w:rsidRPr="00FF6309">
        <w:rPr>
          <w:rFonts w:ascii="ＭＳ ゴシック" w:eastAsia="ＭＳ ゴシック" w:hAnsi="ＭＳ ゴシック" w:hint="eastAsia"/>
          <w:b/>
          <w:bCs/>
        </w:rPr>
        <w:t>への障害者の参加（</w:t>
      </w:r>
      <w:r w:rsidR="00AF1B71" w:rsidRPr="00FF6309">
        <w:rPr>
          <w:rFonts w:ascii="ＭＳ ゴシック" w:eastAsia="ＭＳ ゴシック" w:hAnsi="ＭＳ ゴシック"/>
          <w:b/>
          <w:bCs/>
        </w:rPr>
        <w:t>4</w:t>
      </w:r>
      <w:r w:rsidR="003E20C9" w:rsidRPr="00FF6309">
        <w:rPr>
          <w:rFonts w:ascii="ＭＳ ゴシック" w:eastAsia="ＭＳ ゴシック" w:hAnsi="ＭＳ ゴシック"/>
          <w:b/>
          <w:bCs/>
        </w:rPr>
        <w:t>条</w:t>
      </w:r>
      <w:r w:rsidR="00AF1B71" w:rsidRPr="00FF6309">
        <w:rPr>
          <w:rFonts w:ascii="ＭＳ ゴシック" w:eastAsia="ＭＳ ゴシック" w:hAnsi="ＭＳ ゴシック"/>
          <w:b/>
          <w:bCs/>
        </w:rPr>
        <w:t>3および33条</w:t>
      </w:r>
      <w:r w:rsidR="003E20C9" w:rsidRPr="00FF6309">
        <w:rPr>
          <w:rFonts w:ascii="ＭＳ ゴシック" w:eastAsia="ＭＳ ゴシック" w:hAnsi="ＭＳ ゴシック"/>
          <w:b/>
          <w:bCs/>
        </w:rPr>
        <w:t>3</w:t>
      </w:r>
      <w:r w:rsidR="00AF1B71" w:rsidRPr="00FF6309">
        <w:rPr>
          <w:rFonts w:ascii="ＭＳ ゴシック" w:eastAsia="ＭＳ ゴシック" w:hAnsi="ＭＳ ゴシック"/>
          <w:b/>
          <w:bCs/>
        </w:rPr>
        <w:t>）</w:t>
      </w:r>
    </w:p>
    <w:p w:rsidR="00F87D84" w:rsidRDefault="00F87D84" w:rsidP="00AF1B71"/>
    <w:p w:rsidR="00AF1B71" w:rsidRDefault="00AF1B71" w:rsidP="00AF1B71">
      <w:r>
        <w:t>36.</w:t>
      </w:r>
      <w:r w:rsidR="005B4D8C">
        <w:t xml:space="preserve"> </w:t>
      </w:r>
      <w:r>
        <w:t>委員会は設立以来、条約の実施と監視、および障害者の権利の向上における障害者の基本的な役割を繰り返し強調し</w:t>
      </w:r>
      <w:r w:rsidR="003E20C9">
        <w:rPr>
          <w:rFonts w:hint="eastAsia"/>
        </w:rPr>
        <w:t>てき</w:t>
      </w:r>
      <w:r>
        <w:t>た</w:t>
      </w:r>
      <w:r w:rsidR="005017C2" w:rsidRPr="00F000F1">
        <w:rPr>
          <w:rStyle w:val="ac"/>
          <w:rFonts w:cs="Arial"/>
        </w:rPr>
        <w:footnoteReference w:id="68"/>
      </w:r>
      <w:r>
        <w:t>。条約の実施に関する第4条（3）およびその監視に関する第33条（3）を参照して、委員会は、障害者に関するすべての意思決定プロセスにおいて</w:t>
      </w:r>
      <w:r w:rsidR="003E20C9">
        <w:rPr>
          <w:rFonts w:hint="eastAsia"/>
        </w:rPr>
        <w:t>、また</w:t>
      </w:r>
      <w:r w:rsidR="003E20C9">
        <w:t>条約の監視において</w:t>
      </w:r>
      <w:r w:rsidR="003E20C9">
        <w:rPr>
          <w:rFonts w:hint="eastAsia"/>
        </w:rPr>
        <w:t>、</w:t>
      </w:r>
      <w:r>
        <w:t>障害者の組織</w:t>
      </w:r>
      <w:r w:rsidR="003E20C9">
        <w:rPr>
          <w:rFonts w:hint="eastAsia"/>
        </w:rPr>
        <w:t>と体系的に</w:t>
      </w:r>
      <w:r>
        <w:t>協議し関与させる締約国の義務を明確にし</w:t>
      </w:r>
      <w:r w:rsidR="003E20C9">
        <w:rPr>
          <w:rFonts w:hint="eastAsia"/>
        </w:rPr>
        <w:t>た</w:t>
      </w:r>
      <w:r>
        <w:t>。障害者の組織</w:t>
      </w:r>
      <w:r w:rsidR="003E20C9">
        <w:rPr>
          <w:rFonts w:hint="eastAsia"/>
        </w:rPr>
        <w:t>とは</w:t>
      </w:r>
      <w:r>
        <w:t>、委員会は、障害のある人</w:t>
      </w:r>
      <w:r w:rsidR="003E20C9">
        <w:rPr>
          <w:rFonts w:hint="eastAsia"/>
        </w:rPr>
        <w:t>が</w:t>
      </w:r>
      <w:r>
        <w:t>過半数（その会員数の</w:t>
      </w:r>
      <w:r w:rsidR="003E20C9">
        <w:t>少なくとも</w:t>
      </w:r>
      <w:r>
        <w:t>半分）で構成され、障害のある人によって統治され、指導され、指揮される組織</w:t>
      </w:r>
      <w:r w:rsidR="007B7BF8">
        <w:rPr>
          <w:rFonts w:hint="eastAsia"/>
        </w:rPr>
        <w:t>と</w:t>
      </w:r>
      <w:r>
        <w:t>理解</w:t>
      </w:r>
      <w:r w:rsidR="003F6448">
        <w:t>する</w:t>
      </w:r>
      <w:r w:rsidR="005017C2" w:rsidRPr="00F000F1">
        <w:rPr>
          <w:rStyle w:val="ac"/>
          <w:rFonts w:cs="Arial"/>
          <w:bCs/>
        </w:rPr>
        <w:footnoteReference w:id="69"/>
      </w:r>
      <w:r>
        <w:t>。</w:t>
      </w:r>
    </w:p>
    <w:p w:rsidR="00352327" w:rsidRDefault="00352327" w:rsidP="00AF1B71"/>
    <w:p w:rsidR="00AF1B71" w:rsidRDefault="00AF1B71" w:rsidP="00AF1B71">
      <w:r w:rsidRPr="0047082E">
        <w:t xml:space="preserve">37. </w:t>
      </w:r>
      <w:r w:rsidR="005B4D8C" w:rsidRPr="0047082E">
        <w:t xml:space="preserve"> </w:t>
      </w:r>
      <w:r w:rsidRPr="0047082E">
        <w:t>2018</w:t>
      </w:r>
      <w:r>
        <w:t>年3月、委員会は、2018年9月</w:t>
      </w:r>
      <w:r w:rsidR="0047082E">
        <w:rPr>
          <w:rFonts w:hint="eastAsia"/>
        </w:rPr>
        <w:t>の</w:t>
      </w:r>
      <w:r w:rsidR="0047082E">
        <w:t>第20</w:t>
      </w:r>
      <w:r w:rsidR="0047082E">
        <w:rPr>
          <w:rFonts w:hint="eastAsia"/>
        </w:rPr>
        <w:t>会期に</w:t>
      </w:r>
      <w:r>
        <w:t>採択される予定の</w:t>
      </w:r>
      <w:r w:rsidR="0047082E">
        <w:rPr>
          <w:rFonts w:hint="eastAsia"/>
        </w:rPr>
        <w:t>、</w:t>
      </w:r>
      <w:r>
        <w:t>条約の実施と監視への障害者の参加に関する一般的意見第7号の起草を開始した。</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多様な障害者の範囲</w:t>
      </w:r>
    </w:p>
    <w:p w:rsidR="00F87D84" w:rsidRDefault="00F87D84" w:rsidP="00AF1B71"/>
    <w:p w:rsidR="00AF1B71" w:rsidRDefault="00AF1B71" w:rsidP="00AF1B71">
      <w:r>
        <w:t>38.</w:t>
      </w:r>
      <w:r w:rsidR="005B4D8C">
        <w:t xml:space="preserve"> </w:t>
      </w:r>
      <w:r>
        <w:t>委員会は、締約国に対し、多様な範囲の障害者が条約の実施と監視に関与することを確保するよう要請する</w:t>
      </w:r>
      <w:r w:rsidR="005017C2" w:rsidRPr="00F000F1">
        <w:rPr>
          <w:rStyle w:val="ac"/>
          <w:rFonts w:cs="Arial"/>
        </w:rPr>
        <w:footnoteReference w:id="70"/>
      </w:r>
      <w:r>
        <w:t>。委員会は一般</w:t>
      </w:r>
      <w:r w:rsidR="0047082E">
        <w:rPr>
          <w:rFonts w:hint="eastAsia"/>
        </w:rPr>
        <w:t>的意見</w:t>
      </w:r>
      <w:r>
        <w:t>第3号において、</w:t>
      </w:r>
      <w:r w:rsidR="0047082E">
        <w:t>国は特に</w:t>
      </w:r>
      <w:bookmarkStart w:id="3" w:name="_Hlk17918448"/>
      <w:r w:rsidR="0047082E">
        <w:t>障害</w:t>
      </w:r>
      <w:r w:rsidR="00CA7ED7">
        <w:rPr>
          <w:rFonts w:hint="eastAsia"/>
        </w:rPr>
        <w:t>のある</w:t>
      </w:r>
      <w:r w:rsidR="0047082E">
        <w:t>女性</w:t>
      </w:r>
      <w:bookmarkEnd w:id="3"/>
      <w:r w:rsidR="0047082E">
        <w:t>の組織の参加を</w:t>
      </w:r>
      <w:r w:rsidR="0047082E">
        <w:rPr>
          <w:rFonts w:hint="eastAsia"/>
        </w:rPr>
        <w:t>、</w:t>
      </w:r>
      <w:r w:rsidR="0047082E">
        <w:t>例えば「障害特有の諮問機関およびメカニズムを超えて」</w:t>
      </w:r>
      <w:r w:rsidR="005017C2" w:rsidRPr="00F000F1">
        <w:rPr>
          <w:rStyle w:val="ac"/>
          <w:rFonts w:cs="Arial"/>
          <w:bCs/>
        </w:rPr>
        <w:footnoteReference w:id="71"/>
      </w:r>
      <w:r w:rsidR="0047082E">
        <w:rPr>
          <w:rFonts w:hint="eastAsia"/>
        </w:rPr>
        <w:t>、</w:t>
      </w:r>
      <w:r w:rsidR="0047082E">
        <w:t>促進しなければならないことに留意した。</w:t>
      </w:r>
      <w:r w:rsidR="00CA7ED7">
        <w:rPr>
          <w:rFonts w:hint="eastAsia"/>
        </w:rPr>
        <w:t>これは</w:t>
      </w:r>
      <w:r w:rsidR="00CA7ED7" w:rsidRPr="00CA7ED7">
        <w:rPr>
          <w:rFonts w:hint="eastAsia"/>
        </w:rPr>
        <w:t>障害のある女性</w:t>
      </w:r>
      <w:r w:rsidR="00CA7ED7">
        <w:rPr>
          <w:rFonts w:hint="eastAsia"/>
        </w:rPr>
        <w:t>が</w:t>
      </w:r>
      <w:r>
        <w:t>障害者運動において歴史的に過小評価され、</w:t>
      </w:r>
      <w:r w:rsidR="00CA7ED7">
        <w:rPr>
          <w:rFonts w:hint="eastAsia"/>
        </w:rPr>
        <w:t>公的な</w:t>
      </w:r>
      <w:r>
        <w:t>意思決定への参加に対する多くの障壁</w:t>
      </w:r>
      <w:r w:rsidR="00CA7ED7">
        <w:rPr>
          <w:rFonts w:hint="eastAsia"/>
        </w:rPr>
        <w:t>に</w:t>
      </w:r>
      <w:r w:rsidR="00CA7ED7">
        <w:t>遭遇し</w:t>
      </w:r>
      <w:r w:rsidR="00CA7ED7">
        <w:rPr>
          <w:rFonts w:hint="eastAsia"/>
        </w:rPr>
        <w:t>てきた</w:t>
      </w:r>
      <w:r w:rsidR="00CA7ED7">
        <w:t>ため</w:t>
      </w:r>
      <w:r w:rsidR="00CA7ED7">
        <w:rPr>
          <w:rFonts w:hint="eastAsia"/>
        </w:rPr>
        <w:t>である。</w:t>
      </w:r>
    </w:p>
    <w:p w:rsidR="00F87D84" w:rsidRDefault="00F87D84" w:rsidP="00AF1B71"/>
    <w:p w:rsidR="00AF1B71" w:rsidRDefault="00AF1B71" w:rsidP="00AF1B71">
      <w:r w:rsidRPr="00A905D5">
        <w:t>39.</w:t>
      </w:r>
      <w:r w:rsidR="005B4D8C" w:rsidRPr="00A905D5">
        <w:t xml:space="preserve"> </w:t>
      </w:r>
      <w:r w:rsidRPr="00A905D5">
        <w:t>委員会は</w:t>
      </w:r>
      <w:r>
        <w:t>、</w:t>
      </w:r>
      <w:r w:rsidR="00274DCA">
        <w:t>障害のある人</w:t>
      </w:r>
      <w:r>
        <w:t>の多様なグループへの言及を増や</w:t>
      </w:r>
      <w:r w:rsidR="003F6448">
        <w:t>した</w:t>
      </w:r>
      <w:r>
        <w:t>。委員会は、</w:t>
      </w:r>
      <w:r w:rsidR="00B61E9E">
        <w:t>一般的意見</w:t>
      </w:r>
      <w:r>
        <w:t>No. 5において、あらゆるレベルの意思決定者が、障害のある女性、障害のある高齢者、障害のある子</w:t>
      </w:r>
      <w:r w:rsidR="00A905D5">
        <w:rPr>
          <w:rFonts w:hint="eastAsia"/>
        </w:rPr>
        <w:t>ども</w:t>
      </w:r>
      <w:r>
        <w:t>、心理社会的障害のある人、知的障害</w:t>
      </w:r>
      <w:r w:rsidR="00A905D5">
        <w:rPr>
          <w:rFonts w:hint="eastAsia"/>
        </w:rPr>
        <w:t>のある人の団体を含め、すべての範囲の障害のある人を積極的に参加させ、協議しなければならないとした</w:t>
      </w:r>
      <w:r w:rsidR="005017C2" w:rsidRPr="00F000F1">
        <w:rPr>
          <w:rStyle w:val="ac"/>
          <w:rFonts w:cs="Arial"/>
        </w:rPr>
        <w:footnoteReference w:id="72"/>
      </w:r>
      <w:r w:rsidR="00A905D5">
        <w:rPr>
          <w:rFonts w:hint="eastAsia"/>
        </w:rPr>
        <w:t>。</w:t>
      </w:r>
      <w:r w:rsidR="00B61E9E">
        <w:t>一般的意見</w:t>
      </w:r>
      <w:r>
        <w:t>No.6では、</w:t>
      </w:r>
      <w:r w:rsidR="00E30F70">
        <w:t>第4条（3）および33</w:t>
      </w:r>
      <w:r w:rsidR="00E30F70">
        <w:rPr>
          <w:rFonts w:hint="eastAsia"/>
        </w:rPr>
        <w:t>条</w:t>
      </w:r>
      <w:r w:rsidR="00E30F70">
        <w:t>（3）の下で</w:t>
      </w:r>
      <w:r w:rsidR="00E30F70">
        <w:rPr>
          <w:rFonts w:hint="eastAsia"/>
        </w:rPr>
        <w:t>、</w:t>
      </w:r>
      <w:r>
        <w:t>子</w:t>
      </w:r>
      <w:r w:rsidR="00A905D5">
        <w:rPr>
          <w:rFonts w:hint="eastAsia"/>
        </w:rPr>
        <w:t>ども、</w:t>
      </w:r>
      <w:r>
        <w:t>自閉症の人、遺伝的または神経学的な状態の人、</w:t>
      </w:r>
      <w:r w:rsidR="00E30F70">
        <w:rPr>
          <w:rFonts w:hint="eastAsia"/>
        </w:rPr>
        <w:t>希少</w:t>
      </w:r>
      <w:r>
        <w:t>および慢性</w:t>
      </w:r>
      <w:r w:rsidR="00E30F70">
        <w:rPr>
          <w:rFonts w:hint="eastAsia"/>
        </w:rPr>
        <w:t>疾患のある人、</w:t>
      </w:r>
      <w:r>
        <w:t>アルビニズムのある人、レズビアン、ゲイ、バイセクシュアル、トランスジェンダー、またはインターセッ</w:t>
      </w:r>
      <w:r>
        <w:rPr>
          <w:rFonts w:hint="eastAsia"/>
        </w:rPr>
        <w:t>クスの人、先住民、農村</w:t>
      </w:r>
      <w:r w:rsidR="00E30F70">
        <w:rPr>
          <w:rFonts w:hint="eastAsia"/>
        </w:rPr>
        <w:t>社会</w:t>
      </w:r>
      <w:r>
        <w:rPr>
          <w:rFonts w:hint="eastAsia"/>
        </w:rPr>
        <w:t>、高齢者、女性、武力紛争の犠牲者、少数民族または移民の背景を持つ人</w:t>
      </w:r>
      <w:r w:rsidR="00E30F70">
        <w:rPr>
          <w:rFonts w:hint="eastAsia"/>
        </w:rPr>
        <w:t>を含む、より多様な</w:t>
      </w:r>
      <w:r w:rsidR="00274DCA">
        <w:rPr>
          <w:rFonts w:hint="eastAsia"/>
        </w:rPr>
        <w:t>障害のある人</w:t>
      </w:r>
      <w:r w:rsidR="00E30F70">
        <w:rPr>
          <w:rFonts w:hint="eastAsia"/>
        </w:rPr>
        <w:t>の団体に言及した</w:t>
      </w:r>
      <w:r w:rsidR="005017C2" w:rsidRPr="00F000F1">
        <w:rPr>
          <w:rStyle w:val="ac"/>
          <w:rFonts w:cs="Arial"/>
        </w:rPr>
        <w:footnoteReference w:id="73"/>
      </w:r>
      <w:r w:rsidR="00E30F70">
        <w:rPr>
          <w:rFonts w:hint="eastAsia"/>
        </w:rPr>
        <w:t>。</w:t>
      </w:r>
    </w:p>
    <w:p w:rsidR="00F87D84" w:rsidRDefault="00F87D84" w:rsidP="00AF1B71">
      <w:pPr>
        <w:rPr>
          <w:b/>
          <w:bCs/>
        </w:rPr>
      </w:pPr>
    </w:p>
    <w:p w:rsidR="00AF1B71" w:rsidRPr="00FF6309" w:rsidRDefault="00E30F70" w:rsidP="00AF1B71">
      <w:pPr>
        <w:rPr>
          <w:rFonts w:ascii="ＭＳ ゴシック" w:eastAsia="ＭＳ ゴシック" w:hAnsi="ＭＳ ゴシック"/>
          <w:b/>
          <w:bCs/>
        </w:rPr>
      </w:pPr>
      <w:r>
        <w:rPr>
          <w:rFonts w:ascii="ＭＳ ゴシック" w:eastAsia="ＭＳ ゴシック" w:hAnsi="ＭＳ ゴシック" w:hint="eastAsia"/>
          <w:b/>
          <w:bCs/>
        </w:rPr>
        <w:t>彼らに</w:t>
      </w:r>
      <w:r w:rsidR="00AF1B71" w:rsidRPr="00FF6309">
        <w:rPr>
          <w:rFonts w:ascii="ＭＳ ゴシック" w:eastAsia="ＭＳ ゴシック" w:hAnsi="ＭＳ ゴシック" w:hint="eastAsia"/>
          <w:b/>
          <w:bCs/>
        </w:rPr>
        <w:t>関するすべての事項</w:t>
      </w:r>
    </w:p>
    <w:p w:rsidR="00F87D84" w:rsidRDefault="00F87D84" w:rsidP="00AF1B71"/>
    <w:p w:rsidR="00AF1B71" w:rsidRDefault="00AF1B71" w:rsidP="00AF1B71">
      <w:r>
        <w:t>40.</w:t>
      </w:r>
      <w:r w:rsidR="005B4D8C">
        <w:t xml:space="preserve"> </w:t>
      </w:r>
      <w:r w:rsidR="00274DCA">
        <w:t>障害のある人</w:t>
      </w:r>
      <w:r>
        <w:t>の積極的な関与は、条約の実施に不可欠</w:t>
      </w:r>
      <w:r w:rsidR="003F6448">
        <w:t>である</w:t>
      </w:r>
      <w:r>
        <w:t>。委員会は、</w:t>
      </w:r>
      <w:r w:rsidR="00B61E9E">
        <w:t>一般的意見</w:t>
      </w:r>
      <w:r>
        <w:t>で障害者団体の参加</w:t>
      </w:r>
      <w:r w:rsidR="00E30F70">
        <w:rPr>
          <w:rFonts w:hint="eastAsia"/>
        </w:rPr>
        <w:t>に</w:t>
      </w:r>
      <w:r>
        <w:t>広く言及</w:t>
      </w:r>
      <w:r w:rsidR="003F6448">
        <w:t>した</w:t>
      </w:r>
      <w:r>
        <w:t>。締約国は、</w:t>
      </w:r>
      <w:r w:rsidR="00274DCA">
        <w:rPr>
          <w:rFonts w:hint="eastAsia"/>
        </w:rPr>
        <w:t>障害のある人</w:t>
      </w:r>
      <w:r w:rsidR="00E30F70">
        <w:rPr>
          <w:rFonts w:hint="eastAsia"/>
        </w:rPr>
        <w:t>の</w:t>
      </w:r>
      <w:r>
        <w:t>生活に影響を与えるすべてのプログラムの設計、実施、</w:t>
      </w:r>
      <w:r w:rsidR="00E30F70">
        <w:rPr>
          <w:rFonts w:hint="eastAsia"/>
        </w:rPr>
        <w:t>監視</w:t>
      </w:r>
      <w:r>
        <w:t>に</w:t>
      </w:r>
      <w:r w:rsidR="00274DCA">
        <w:t>障害のある人</w:t>
      </w:r>
      <w:r>
        <w:t>を体系的に関与させ、相談すべきであるという事実に加えて、委員会は、</w:t>
      </w:r>
      <w:r w:rsidR="00E30F70">
        <w:t>特定の分野に関連する</w:t>
      </w:r>
      <w:r w:rsidR="00E30F70">
        <w:rPr>
          <w:rFonts w:hint="eastAsia"/>
        </w:rPr>
        <w:t>法制、政策</w:t>
      </w:r>
      <w:r w:rsidR="00E30F70">
        <w:t>その他の意思決定</w:t>
      </w:r>
      <w:r>
        <w:t>の策定と実施に</w:t>
      </w:r>
      <w:r w:rsidR="00EF3874">
        <w:rPr>
          <w:rFonts w:hint="eastAsia"/>
        </w:rPr>
        <w:t>際して、</w:t>
      </w:r>
      <w:r w:rsidR="00274DCA">
        <w:rPr>
          <w:rFonts w:hint="eastAsia"/>
        </w:rPr>
        <w:t>障害のある人</w:t>
      </w:r>
      <w:r w:rsidR="00E30F70">
        <w:rPr>
          <w:rFonts w:hint="eastAsia"/>
        </w:rPr>
        <w:t>が</w:t>
      </w:r>
      <w:r>
        <w:t>相談</w:t>
      </w:r>
      <w:r w:rsidR="00E30F70">
        <w:rPr>
          <w:rFonts w:hint="eastAsia"/>
        </w:rPr>
        <w:t>を受け、</w:t>
      </w:r>
      <w:r>
        <w:t>関与しなければならない</w:t>
      </w:r>
      <w:r w:rsidR="00E30F70">
        <w:rPr>
          <w:rFonts w:hint="eastAsia"/>
        </w:rPr>
        <w:t>と</w:t>
      </w:r>
      <w:r>
        <w:t>明確に述べて</w:t>
      </w:r>
      <w:r w:rsidR="003F6448">
        <w:t>いる</w:t>
      </w:r>
      <w:r w:rsidR="005017C2">
        <w:rPr>
          <w:rStyle w:val="ac"/>
          <w:rFonts w:cs="Arial"/>
        </w:rPr>
        <w:footnoteReference w:id="74"/>
      </w:r>
      <w:r>
        <w:t>。</w:t>
      </w:r>
    </w:p>
    <w:p w:rsidR="00F87D84" w:rsidRDefault="00F87D84" w:rsidP="00AF1B71"/>
    <w:p w:rsidR="00AF1B71" w:rsidRDefault="00AF1B71" w:rsidP="00AF1B71">
      <w:r>
        <w:t>41.</w:t>
      </w:r>
      <w:r w:rsidR="005B4D8C">
        <w:t xml:space="preserve"> </w:t>
      </w:r>
      <w:r>
        <w:t>委員会は、</w:t>
      </w:r>
      <w:r w:rsidR="00B61E9E">
        <w:t>一般的意見</w:t>
      </w:r>
      <w:r>
        <w:t>と</w:t>
      </w:r>
      <w:r w:rsidR="007A217D">
        <w:rPr>
          <w:rFonts w:hint="eastAsia"/>
        </w:rPr>
        <w:t>総括所見</w:t>
      </w:r>
      <w:r>
        <w:t>で、</w:t>
      </w:r>
      <w:r w:rsidR="00274DCA">
        <w:t>障害のある人</w:t>
      </w:r>
      <w:r>
        <w:t>の組織が関与すべき多くの</w:t>
      </w:r>
      <w:r w:rsidR="00EF3874">
        <w:rPr>
          <w:rFonts w:hint="eastAsia"/>
        </w:rPr>
        <w:t>事項</w:t>
      </w:r>
      <w:r>
        <w:t>を示した。これには</w:t>
      </w:r>
      <w:r w:rsidR="00EF3874">
        <w:rPr>
          <w:rFonts w:hint="eastAsia"/>
        </w:rPr>
        <w:t>次のものが含まれる；</w:t>
      </w:r>
      <w:r>
        <w:t>国内および国際レベルでのアクセシビリティ</w:t>
      </w:r>
      <w:r w:rsidR="00EF3874">
        <w:rPr>
          <w:rFonts w:hint="eastAsia"/>
        </w:rPr>
        <w:t>基準</w:t>
      </w:r>
      <w:r>
        <w:t>の開発、</w:t>
      </w:r>
      <w:r w:rsidR="00EF3874">
        <w:rPr>
          <w:rFonts w:hint="eastAsia"/>
        </w:rPr>
        <w:t>実施</w:t>
      </w:r>
      <w:r>
        <w:t>、および監視</w:t>
      </w:r>
      <w:r w:rsidR="005017C2" w:rsidRPr="00F000F1">
        <w:rPr>
          <w:rStyle w:val="ac"/>
          <w:rFonts w:cs="Arial"/>
        </w:rPr>
        <w:footnoteReference w:id="75"/>
      </w:r>
      <w:r w:rsidR="005017C2">
        <w:rPr>
          <w:rFonts w:hint="eastAsia"/>
        </w:rPr>
        <w:t xml:space="preserve"> </w:t>
      </w:r>
      <w:r w:rsidR="005017C2" w:rsidRPr="00F000F1">
        <w:rPr>
          <w:rStyle w:val="ac"/>
          <w:rFonts w:cs="Arial"/>
        </w:rPr>
        <w:footnoteReference w:id="76"/>
      </w:r>
      <w:r w:rsidR="00EF3874">
        <w:rPr>
          <w:rFonts w:hint="eastAsia"/>
        </w:rPr>
        <w:t>；</w:t>
      </w:r>
      <w:r>
        <w:t>平等政策と戦略</w:t>
      </w:r>
      <w:r w:rsidR="005017C2" w:rsidRPr="00F000F1">
        <w:rPr>
          <w:rStyle w:val="ac"/>
          <w:rFonts w:cs="Arial"/>
        </w:rPr>
        <w:footnoteReference w:id="77"/>
      </w:r>
      <w:r w:rsidR="00EF3874">
        <w:rPr>
          <w:rFonts w:hint="eastAsia"/>
        </w:rPr>
        <w:t>；肯定的行動の措置</w:t>
      </w:r>
      <w:r w:rsidR="005017C2" w:rsidRPr="00F000F1">
        <w:rPr>
          <w:rStyle w:val="ac"/>
          <w:rFonts w:cs="Arial"/>
        </w:rPr>
        <w:footnoteReference w:id="78"/>
      </w:r>
      <w:r w:rsidR="00EF3874">
        <w:rPr>
          <w:rFonts w:hint="eastAsia"/>
        </w:rPr>
        <w:t>；</w:t>
      </w:r>
      <w:r>
        <w:t>移行</w:t>
      </w:r>
      <w:r w:rsidR="00EF3874">
        <w:rPr>
          <w:rFonts w:hint="eastAsia"/>
        </w:rPr>
        <w:t>期</w:t>
      </w:r>
      <w:r>
        <w:t>計画の開発を含む脱</w:t>
      </w:r>
      <w:r w:rsidR="00EF3874">
        <w:rPr>
          <w:rFonts w:hint="eastAsia"/>
        </w:rPr>
        <w:t>施設</w:t>
      </w:r>
      <w:r>
        <w:t>化戦略</w:t>
      </w:r>
      <w:r w:rsidR="005017C2" w:rsidRPr="00F000F1">
        <w:rPr>
          <w:rStyle w:val="ac"/>
          <w:rFonts w:cs="Arial"/>
        </w:rPr>
        <w:footnoteReference w:id="79"/>
      </w:r>
      <w:r w:rsidR="005017C2">
        <w:rPr>
          <w:rFonts w:hint="eastAsia"/>
        </w:rPr>
        <w:t xml:space="preserve"> </w:t>
      </w:r>
      <w:r w:rsidR="005017C2" w:rsidRPr="00F000F1">
        <w:rPr>
          <w:rStyle w:val="ac"/>
          <w:rFonts w:cs="Arial"/>
        </w:rPr>
        <w:footnoteReference w:id="80"/>
      </w:r>
      <w:r w:rsidR="00EF3874">
        <w:rPr>
          <w:rFonts w:hint="eastAsia"/>
        </w:rPr>
        <w:t>；地域社会</w:t>
      </w:r>
      <w:r>
        <w:t>内</w:t>
      </w:r>
      <w:r w:rsidR="00EF3874">
        <w:rPr>
          <w:rFonts w:hint="eastAsia"/>
        </w:rPr>
        <w:t>で</w:t>
      </w:r>
      <w:r>
        <w:t>の</w:t>
      </w:r>
      <w:r w:rsidR="00EF3874">
        <w:rPr>
          <w:rFonts w:hint="eastAsia"/>
        </w:rPr>
        <w:t>支援</w:t>
      </w:r>
      <w:r>
        <w:t>サービスおよび</w:t>
      </w:r>
      <w:r w:rsidR="00EF3874">
        <w:rPr>
          <w:rFonts w:hint="eastAsia"/>
        </w:rPr>
        <w:t>支援</w:t>
      </w:r>
      <w:r>
        <w:t>サービスへの</w:t>
      </w:r>
      <w:r w:rsidR="00EF3874">
        <w:rPr>
          <w:rFonts w:hint="eastAsia"/>
        </w:rPr>
        <w:t>投入資源</w:t>
      </w:r>
      <w:r w:rsidR="005017C2" w:rsidRPr="00F000F1">
        <w:rPr>
          <w:rStyle w:val="ac"/>
          <w:rFonts w:cs="Arial"/>
        </w:rPr>
        <w:footnoteReference w:id="81"/>
      </w:r>
      <w:r w:rsidR="00EF3874">
        <w:rPr>
          <w:rFonts w:hint="eastAsia"/>
        </w:rPr>
        <w:t>；</w:t>
      </w:r>
      <w:r>
        <w:t>緊急事態のすべての段階に関連する</w:t>
      </w:r>
      <w:r w:rsidR="00EF3874">
        <w:rPr>
          <w:rFonts w:hint="eastAsia"/>
        </w:rPr>
        <w:t>法制と政策</w:t>
      </w:r>
      <w:r w:rsidR="005017C2" w:rsidRPr="00F000F1">
        <w:rPr>
          <w:rStyle w:val="ac"/>
          <w:rFonts w:cs="Arial"/>
        </w:rPr>
        <w:footnoteReference w:id="82"/>
      </w:r>
      <w:r w:rsidR="00EF3874">
        <w:rPr>
          <w:rFonts w:hint="eastAsia"/>
        </w:rPr>
        <w:t>；</w:t>
      </w:r>
      <w:r>
        <w:t>意識向上プログラムと活動</w:t>
      </w:r>
      <w:r w:rsidR="005017C2" w:rsidRPr="00F000F1">
        <w:rPr>
          <w:rStyle w:val="ac"/>
          <w:rFonts w:cs="Arial"/>
        </w:rPr>
        <w:footnoteReference w:id="83"/>
      </w:r>
      <w:r w:rsidR="00EF3874">
        <w:rPr>
          <w:rFonts w:hint="eastAsia"/>
        </w:rPr>
        <w:t>；</w:t>
      </w:r>
      <w:r>
        <w:t>能力</w:t>
      </w:r>
      <w:r w:rsidR="00EF3874">
        <w:rPr>
          <w:rFonts w:hint="eastAsia"/>
        </w:rPr>
        <w:t>構築</w:t>
      </w:r>
      <w:r>
        <w:t>プログラム</w:t>
      </w:r>
      <w:r w:rsidR="005017C2" w:rsidRPr="00F000F1">
        <w:rPr>
          <w:rStyle w:val="ac"/>
          <w:rFonts w:cs="Arial"/>
        </w:rPr>
        <w:footnoteReference w:id="84"/>
      </w:r>
      <w:r w:rsidR="00EF3874">
        <w:rPr>
          <w:rFonts w:hint="eastAsia"/>
        </w:rPr>
        <w:t>；</w:t>
      </w:r>
      <w:r>
        <w:t>データの収集と分析</w:t>
      </w:r>
      <w:r w:rsidR="007A2B8B" w:rsidRPr="00F000F1">
        <w:rPr>
          <w:rStyle w:val="ac"/>
          <w:rFonts w:cs="Arial"/>
        </w:rPr>
        <w:footnoteReference w:id="85"/>
      </w:r>
      <w:r w:rsidR="00EF3874">
        <w:rPr>
          <w:rFonts w:hint="eastAsia"/>
        </w:rPr>
        <w:t>；</w:t>
      </w:r>
      <w:r>
        <w:t>インクルーシブ教育の監視</w:t>
      </w:r>
      <w:r w:rsidR="007A2B8B" w:rsidRPr="00F000F1">
        <w:rPr>
          <w:rStyle w:val="ac"/>
          <w:rFonts w:cs="Arial"/>
        </w:rPr>
        <w:footnoteReference w:id="86"/>
      </w:r>
      <w:r w:rsidR="00EF3874">
        <w:rPr>
          <w:rFonts w:hint="eastAsia"/>
        </w:rPr>
        <w:t>；</w:t>
      </w:r>
      <w:r>
        <w:t>国、地域、国際レベルでの政治参加プロセス</w:t>
      </w:r>
      <w:r w:rsidR="007A2B8B" w:rsidRPr="00F000F1">
        <w:rPr>
          <w:rStyle w:val="ac"/>
          <w:rFonts w:cs="Arial"/>
        </w:rPr>
        <w:footnoteReference w:id="87"/>
      </w:r>
      <w:r>
        <w:t>。</w:t>
      </w:r>
    </w:p>
    <w:p w:rsidR="00F87D84" w:rsidRDefault="00F87D84" w:rsidP="00AF1B71">
      <w:pPr>
        <w:rPr>
          <w:b/>
          <w:bCs/>
        </w:rPr>
      </w:pPr>
    </w:p>
    <w:p w:rsidR="00AF1B71" w:rsidRPr="00FF6309" w:rsidRDefault="00EF3874" w:rsidP="00AF1B71">
      <w:pPr>
        <w:rPr>
          <w:rFonts w:ascii="ＭＳ ゴシック" w:eastAsia="ＭＳ ゴシック" w:hAnsi="ＭＳ ゴシック"/>
          <w:b/>
          <w:bCs/>
        </w:rPr>
      </w:pPr>
      <w:r>
        <w:rPr>
          <w:rFonts w:ascii="ＭＳ ゴシック" w:eastAsia="ＭＳ ゴシック" w:hAnsi="ＭＳ ゴシック" w:hint="eastAsia"/>
          <w:b/>
          <w:bCs/>
        </w:rPr>
        <w:t>十分な予算</w:t>
      </w:r>
      <w:r w:rsidR="00AF1B71" w:rsidRPr="00FF6309">
        <w:rPr>
          <w:rFonts w:ascii="ＭＳ ゴシック" w:eastAsia="ＭＳ ゴシック" w:hAnsi="ＭＳ ゴシック" w:hint="eastAsia"/>
          <w:b/>
          <w:bCs/>
        </w:rPr>
        <w:t>と能力</w:t>
      </w:r>
      <w:r>
        <w:rPr>
          <w:rFonts w:ascii="ＭＳ ゴシック" w:eastAsia="ＭＳ ゴシック" w:hAnsi="ＭＳ ゴシック" w:hint="eastAsia"/>
          <w:b/>
          <w:bCs/>
        </w:rPr>
        <w:t>構築</w:t>
      </w:r>
    </w:p>
    <w:p w:rsidR="00F87D84" w:rsidRDefault="00F87D84" w:rsidP="00AF1B71"/>
    <w:p w:rsidR="00AF1B71" w:rsidRDefault="00AF1B71" w:rsidP="00AF1B71">
      <w:r>
        <w:t>42.</w:t>
      </w:r>
      <w:r w:rsidR="005B4D8C">
        <w:t xml:space="preserve"> </w:t>
      </w:r>
      <w:r>
        <w:t>最近、委員会は、締約国が障害者団体の公平性、</w:t>
      </w:r>
      <w:r w:rsidR="00487D0D">
        <w:rPr>
          <w:rFonts w:hint="eastAsia"/>
        </w:rPr>
        <w:t>自律性</w:t>
      </w:r>
      <w:r>
        <w:t>および</w:t>
      </w:r>
      <w:r w:rsidR="00352327">
        <w:rPr>
          <w:rFonts w:hint="eastAsia"/>
        </w:rPr>
        <w:t>財政的</w:t>
      </w:r>
      <w:r>
        <w:t>持続可能</w:t>
      </w:r>
      <w:r w:rsidR="00352327">
        <w:rPr>
          <w:rFonts w:hint="eastAsia"/>
        </w:rPr>
        <w:t>性</w:t>
      </w:r>
      <w:r>
        <w:t>を確保すべきであると指摘した</w:t>
      </w:r>
      <w:r w:rsidR="007A2B8B" w:rsidRPr="00F000F1">
        <w:rPr>
          <w:rStyle w:val="ac"/>
          <w:rFonts w:cs="Arial"/>
        </w:rPr>
        <w:footnoteReference w:id="88"/>
      </w:r>
      <w:r>
        <w:t>。資金は、条約第4条（3）</w:t>
      </w:r>
      <w:r w:rsidR="007A2B8B" w:rsidRPr="00F000F1">
        <w:rPr>
          <w:rStyle w:val="ac"/>
          <w:rFonts w:cs="Arial"/>
        </w:rPr>
        <w:footnoteReference w:id="89"/>
      </w:r>
      <w:r>
        <w:t>および第33条（3）</w:t>
      </w:r>
      <w:r w:rsidR="007A2B8B" w:rsidRPr="00F000F1">
        <w:rPr>
          <w:rStyle w:val="ac"/>
          <w:rFonts w:cs="Arial"/>
        </w:rPr>
        <w:footnoteReference w:id="90"/>
      </w:r>
      <w:r>
        <w:t>に基づく役割を果たせるようにするために十分でなければならず、資金調達の枠組みは彼らの独立性に影響を与えてはな</w:t>
      </w:r>
      <w:r w:rsidR="00487D0D">
        <w:rPr>
          <w:rFonts w:hint="eastAsia"/>
        </w:rPr>
        <w:t>らない</w:t>
      </w:r>
      <w:r w:rsidR="007A2B8B" w:rsidRPr="00F000F1">
        <w:rPr>
          <w:rStyle w:val="ac"/>
          <w:rFonts w:cs="Arial"/>
        </w:rPr>
        <w:footnoteReference w:id="91"/>
      </w:r>
      <w:r>
        <w:t>。さらに、締約国は、障害のある人の代表的な組織が自らの権利を強化するために</w:t>
      </w:r>
      <w:r w:rsidR="00487D0D">
        <w:rPr>
          <w:rFonts w:hint="eastAsia"/>
        </w:rPr>
        <w:t>企画し</w:t>
      </w:r>
      <w:r>
        <w:t>実施する活動、プロジェクト、およびプログラムに十分な資金を提供する必要が</w:t>
      </w:r>
      <w:r w:rsidR="003F6448">
        <w:t>ある</w:t>
      </w:r>
      <w:r w:rsidR="007A2B8B" w:rsidRPr="00F000F1">
        <w:rPr>
          <w:rStyle w:val="ac"/>
          <w:rFonts w:cs="Arial"/>
        </w:rPr>
        <w:footnoteReference w:id="92"/>
      </w:r>
      <w:r>
        <w:t>。いくつかの</w:t>
      </w:r>
      <w:r w:rsidR="00487D0D">
        <w:rPr>
          <w:rFonts w:hint="eastAsia"/>
        </w:rPr>
        <w:t>機会に</w:t>
      </w:r>
      <w:r>
        <w:t>委員会は、締約国が資金を提供すべき組織に</w:t>
      </w:r>
      <w:r w:rsidR="00487D0D">
        <w:rPr>
          <w:rFonts w:hint="eastAsia"/>
        </w:rPr>
        <w:t>具体的に</w:t>
      </w:r>
      <w:r>
        <w:t>言及した</w:t>
      </w:r>
      <w:r w:rsidR="007A2B8B" w:rsidRPr="00F000F1">
        <w:rPr>
          <w:rStyle w:val="ac"/>
          <w:rFonts w:cs="Arial"/>
        </w:rPr>
        <w:footnoteReference w:id="93"/>
      </w:r>
      <w:r>
        <w:t>。また最近、</w:t>
      </w:r>
      <w:r w:rsidR="00274DCA">
        <w:rPr>
          <w:rFonts w:hint="eastAsia"/>
        </w:rPr>
        <w:t>障害のある人</w:t>
      </w:r>
      <w:r>
        <w:rPr>
          <w:rFonts w:hint="eastAsia"/>
        </w:rPr>
        <w:t>の組織の能力</w:t>
      </w:r>
      <w:r w:rsidR="00487D0D">
        <w:rPr>
          <w:rFonts w:hint="eastAsia"/>
        </w:rPr>
        <w:t>構築</w:t>
      </w:r>
      <w:r>
        <w:rPr>
          <w:rFonts w:hint="eastAsia"/>
        </w:rPr>
        <w:t>を支援するよう締約国に</w:t>
      </w:r>
      <w:r w:rsidR="00487D0D">
        <w:rPr>
          <w:rFonts w:hint="eastAsia"/>
        </w:rPr>
        <w:t>勧告</w:t>
      </w:r>
      <w:r>
        <w:rPr>
          <w:rFonts w:hint="eastAsia"/>
        </w:rPr>
        <w:t>することも始め</w:t>
      </w:r>
      <w:r w:rsidR="003F6448">
        <w:rPr>
          <w:rFonts w:hint="eastAsia"/>
        </w:rPr>
        <w:t>た</w:t>
      </w:r>
      <w:r w:rsidR="007A2B8B" w:rsidRPr="00F000F1">
        <w:rPr>
          <w:rStyle w:val="ac"/>
          <w:rFonts w:cs="Arial"/>
        </w:rPr>
        <w:footnoteReference w:id="94"/>
      </w:r>
      <w:r>
        <w:rPr>
          <w:rFonts w:hint="eastAsia"/>
        </w:rP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障害者とその代表組織の参加に関する新しい一般</w:t>
      </w:r>
      <w:r w:rsidR="0047082E">
        <w:rPr>
          <w:rFonts w:ascii="ＭＳ ゴシック" w:eastAsia="ＭＳ ゴシック" w:hAnsi="ＭＳ ゴシック" w:hint="eastAsia"/>
          <w:b/>
          <w:bCs/>
        </w:rPr>
        <w:t>的意見</w:t>
      </w:r>
    </w:p>
    <w:p w:rsidR="00FF6309" w:rsidRDefault="00FF6309" w:rsidP="00AF1B71"/>
    <w:p w:rsidR="00AF1B71" w:rsidRDefault="00AF1B71" w:rsidP="00487D0D">
      <w:pPr>
        <w:ind w:firstLineChars="100" w:firstLine="210"/>
      </w:pPr>
      <w:r>
        <w:rPr>
          <w:rFonts w:hint="eastAsia"/>
        </w:rPr>
        <w:t>第</w:t>
      </w:r>
      <w:r>
        <w:t>19会期</w:t>
      </w:r>
      <w:r w:rsidR="00487D0D">
        <w:rPr>
          <w:rFonts w:hint="eastAsia"/>
        </w:rPr>
        <w:t>に</w:t>
      </w:r>
      <w:r>
        <w:t>委員会は、条約第4条（3）および33条（3）に関する</w:t>
      </w:r>
      <w:r w:rsidR="00B61E9E">
        <w:t>一般的意見</w:t>
      </w:r>
      <w:r>
        <w:t>の作成</w:t>
      </w:r>
      <w:r w:rsidR="00487D0D">
        <w:rPr>
          <w:rFonts w:hint="eastAsia"/>
        </w:rPr>
        <w:t>作業</w:t>
      </w:r>
      <w:r>
        <w:t>を開始</w:t>
      </w:r>
      <w:r w:rsidR="003F6448">
        <w:t>した</w:t>
      </w:r>
      <w:r>
        <w:t>。</w:t>
      </w:r>
      <w:r w:rsidR="00487D0D">
        <w:rPr>
          <w:rFonts w:hint="eastAsia"/>
        </w:rPr>
        <w:t>これは一般的意見No.7として採択される予定である。</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委員会の</w:t>
      </w:r>
      <w:r w:rsidR="00487D0D">
        <w:rPr>
          <w:rFonts w:ascii="ＭＳ ゴシック" w:eastAsia="ＭＳ ゴシック" w:hAnsi="ＭＳ ゴシック" w:hint="eastAsia"/>
          <w:b/>
          <w:bCs/>
        </w:rPr>
        <w:t>活動</w:t>
      </w:r>
      <w:r w:rsidRPr="00FF6309">
        <w:rPr>
          <w:rFonts w:ascii="ＭＳ ゴシック" w:eastAsia="ＭＳ ゴシック" w:hAnsi="ＭＳ ゴシック"/>
          <w:b/>
          <w:bCs/>
        </w:rPr>
        <w:t>への障害者の参加</w:t>
      </w:r>
    </w:p>
    <w:p w:rsidR="00F87D84" w:rsidRDefault="00F87D84" w:rsidP="00AF1B71"/>
    <w:p w:rsidR="00AF1B71" w:rsidRDefault="00AF1B71" w:rsidP="00AF1B71">
      <w:r>
        <w:t xml:space="preserve">43. </w:t>
      </w:r>
      <w:r w:rsidR="005B4D8C">
        <w:t xml:space="preserve"> </w:t>
      </w:r>
      <w:r>
        <w:t>2014年、委員会は、委員会の活動への障害者組織および市民社会組織の参加に関するガイドラインを公開した（CRPD/C/11/2、附属書II）。このガイドラインは、</w:t>
      </w:r>
      <w:r w:rsidR="00274DCA">
        <w:t>障害のある人</w:t>
      </w:r>
      <w:r>
        <w:t>の組織および市民社会組織が、締約国の報告書の</w:t>
      </w:r>
      <w:r w:rsidR="00487D0D">
        <w:rPr>
          <w:rFonts w:hint="eastAsia"/>
        </w:rPr>
        <w:t>検討</w:t>
      </w:r>
      <w:r>
        <w:t>のための報告</w:t>
      </w:r>
      <w:r w:rsidR="00487D0D">
        <w:rPr>
          <w:rFonts w:hint="eastAsia"/>
        </w:rPr>
        <w:t>手続き</w:t>
      </w:r>
      <w:r>
        <w:t>、</w:t>
      </w:r>
      <w:r w:rsidR="00B61E9E">
        <w:t>一般的意見</w:t>
      </w:r>
      <w:r>
        <w:t>の起草、一般的な議論の日、および</w:t>
      </w:r>
      <w:r w:rsidR="00650930">
        <w:rPr>
          <w:rFonts w:hint="eastAsia"/>
        </w:rPr>
        <w:t>個人通報と調査</w:t>
      </w:r>
      <w:r>
        <w:t>に関する</w:t>
      </w:r>
      <w:r w:rsidR="00650930">
        <w:rPr>
          <w:rFonts w:hint="eastAsia"/>
        </w:rPr>
        <w:t>手続き</w:t>
      </w:r>
      <w:r>
        <w:t>に参加する方法に関する詳細な情報を提供</w:t>
      </w:r>
      <w:r w:rsidR="00650930">
        <w:rPr>
          <w:rFonts w:hint="eastAsia"/>
        </w:rPr>
        <w:t>している</w:t>
      </w:r>
      <w:r>
        <w:t>。</w:t>
      </w:r>
    </w:p>
    <w:p w:rsidR="00AF1B71" w:rsidRDefault="00AF1B71" w:rsidP="00AF1B71"/>
    <w:p w:rsidR="00AF1B71" w:rsidRDefault="00AF1B71" w:rsidP="00AF1B71">
      <w:r>
        <w:t>44.</w:t>
      </w:r>
      <w:r w:rsidR="005B4D8C">
        <w:t xml:space="preserve"> </w:t>
      </w:r>
      <w:r>
        <w:t>委員会は、委員会の活動に貢献した個人および組織に対するすべての脅迫行為および報復行為を非難</w:t>
      </w:r>
      <w:r w:rsidR="003F6448">
        <w:t>した</w:t>
      </w:r>
      <w:r>
        <w:t>。</w:t>
      </w:r>
      <w:r w:rsidR="00650930">
        <w:rPr>
          <w:rFonts w:hint="eastAsia"/>
        </w:rPr>
        <w:t>委員</w:t>
      </w:r>
      <w:r>
        <w:t>の中から報復</w:t>
      </w:r>
      <w:r w:rsidR="00650930">
        <w:rPr>
          <w:rFonts w:hint="eastAsia"/>
        </w:rPr>
        <w:t>に関する連絡担当者</w:t>
      </w:r>
      <w:r>
        <w:t>を任命し、そのようなケースが関係する状況</w:t>
      </w:r>
      <w:r w:rsidR="00650930">
        <w:rPr>
          <w:rFonts w:hint="eastAsia"/>
        </w:rPr>
        <w:t>を</w:t>
      </w:r>
      <w:r>
        <w:t>フォローアップ</w:t>
      </w:r>
      <w:r w:rsidR="00650930">
        <w:rPr>
          <w:rFonts w:hint="eastAsia"/>
        </w:rPr>
        <w:t>し助言</w:t>
      </w:r>
      <w:r>
        <w:t>を提供することを命じ</w:t>
      </w:r>
      <w:r w:rsidR="003F6448">
        <w:t>た</w:t>
      </w:r>
      <w:r>
        <w:t>。人権擁護</w:t>
      </w:r>
      <w:r w:rsidR="00650930">
        <w:rPr>
          <w:rFonts w:hint="eastAsia"/>
        </w:rPr>
        <w:t>者</w:t>
      </w:r>
      <w:r>
        <w:t>の安全を確保するために、組織は、提出</w:t>
      </w:r>
      <w:r w:rsidR="00650930">
        <w:t>文書</w:t>
      </w:r>
      <w:r>
        <w:t>またはブリーフィングへの参加を機密</w:t>
      </w:r>
      <w:r w:rsidR="00650930">
        <w:rPr>
          <w:rFonts w:hint="eastAsia"/>
        </w:rPr>
        <w:t>扱いとすることを</w:t>
      </w:r>
      <w:r>
        <w:t>要求することが</w:t>
      </w:r>
      <w:r w:rsidR="003F6448">
        <w:t>できる</w:t>
      </w:r>
      <w:r w:rsidR="007A2B8B" w:rsidRPr="00F000F1">
        <w:rPr>
          <w:rStyle w:val="ac"/>
          <w:rFonts w:cs="Arial"/>
        </w:rPr>
        <w:footnoteReference w:id="95"/>
      </w:r>
      <w:r>
        <w:t>。</w:t>
      </w:r>
    </w:p>
    <w:p w:rsidR="00F87D84" w:rsidRDefault="00F87D84" w:rsidP="00AF1B71">
      <w:pPr>
        <w:rPr>
          <w:b/>
          <w:bCs/>
        </w:rPr>
      </w:pPr>
    </w:p>
    <w:p w:rsidR="00AF1B71" w:rsidRPr="005B4D8C" w:rsidRDefault="00AF1B71" w:rsidP="005B4D8C">
      <w:pPr>
        <w:pStyle w:val="a7"/>
        <w:numPr>
          <w:ilvl w:val="0"/>
          <w:numId w:val="3"/>
        </w:numPr>
        <w:ind w:leftChars="0"/>
        <w:rPr>
          <w:rFonts w:ascii="ＭＳ ゴシック" w:eastAsia="ＭＳ ゴシック" w:hAnsi="ＭＳ ゴシック"/>
          <w:b/>
          <w:bCs/>
        </w:rPr>
      </w:pPr>
      <w:r w:rsidRPr="005B4D8C">
        <w:rPr>
          <w:rFonts w:ascii="ＭＳ ゴシック" w:eastAsia="ＭＳ ゴシック" w:hAnsi="ＭＳ ゴシック"/>
          <w:b/>
          <w:bCs/>
        </w:rPr>
        <w:t>主な横断的問題</w:t>
      </w:r>
    </w:p>
    <w:p w:rsidR="00F87D84" w:rsidRPr="00FF6309" w:rsidRDefault="00F87D84" w:rsidP="00AF1B71">
      <w:pPr>
        <w:rPr>
          <w:rFonts w:ascii="ＭＳ ゴシック" w:eastAsia="ＭＳ ゴシック" w:hAnsi="ＭＳ ゴシック"/>
          <w:b/>
          <w:bCs/>
        </w:rPr>
      </w:pPr>
    </w:p>
    <w:p w:rsidR="00AF1B71" w:rsidRPr="00FF6309" w:rsidRDefault="00FF6309" w:rsidP="00AF1B71">
      <w:pPr>
        <w:rPr>
          <w:rFonts w:ascii="ＭＳ ゴシック" w:eastAsia="ＭＳ ゴシック" w:hAnsi="ＭＳ ゴシック"/>
          <w:b/>
          <w:bCs/>
        </w:rPr>
      </w:pPr>
      <w:r>
        <w:rPr>
          <w:rFonts w:ascii="ＭＳ ゴシック" w:eastAsia="ＭＳ ゴシック" w:hAnsi="ＭＳ ゴシック" w:hint="eastAsia"/>
          <w:b/>
          <w:bCs/>
        </w:rPr>
        <w:t>i</w:t>
      </w:r>
      <w:r w:rsidR="00720EAA" w:rsidRPr="00FF6309">
        <w:rPr>
          <w:rFonts w:ascii="ＭＳ ゴシック" w:eastAsia="ＭＳ ゴシック" w:hAnsi="ＭＳ ゴシック" w:hint="eastAsia"/>
          <w:b/>
          <w:bCs/>
        </w:rPr>
        <w:t>.</w:t>
      </w:r>
      <w:r w:rsidR="005B4D8C">
        <w:rPr>
          <w:rFonts w:ascii="ＭＳ ゴシック" w:eastAsia="ＭＳ ゴシック" w:hAnsi="ＭＳ ゴシック"/>
          <w:b/>
          <w:bCs/>
        </w:rPr>
        <w:t xml:space="preserve"> </w:t>
      </w:r>
      <w:r w:rsidR="00AF1B71" w:rsidRPr="00FF6309">
        <w:rPr>
          <w:rFonts w:ascii="ＭＳ ゴシック" w:eastAsia="ＭＳ ゴシック" w:hAnsi="ＭＳ ゴシック" w:hint="eastAsia"/>
          <w:b/>
          <w:bCs/>
        </w:rPr>
        <w:t>平等、</w:t>
      </w:r>
      <w:r w:rsidR="00650930">
        <w:rPr>
          <w:rFonts w:ascii="ＭＳ ゴシック" w:eastAsia="ＭＳ ゴシック" w:hAnsi="ＭＳ ゴシック" w:hint="eastAsia"/>
          <w:b/>
          <w:bCs/>
        </w:rPr>
        <w:t>無差別</w:t>
      </w:r>
      <w:r w:rsidR="00352327">
        <w:rPr>
          <w:rFonts w:ascii="ＭＳ ゴシック" w:eastAsia="ＭＳ ゴシック" w:hAnsi="ＭＳ ゴシック" w:hint="eastAsia"/>
          <w:b/>
          <w:bCs/>
        </w:rPr>
        <w:t>および</w:t>
      </w:r>
      <w:r w:rsidR="00AF1B71" w:rsidRPr="00FF6309">
        <w:rPr>
          <w:rFonts w:ascii="ＭＳ ゴシック" w:eastAsia="ＭＳ ゴシック" w:hAnsi="ＭＳ ゴシック" w:hint="eastAsia"/>
          <w:b/>
          <w:bCs/>
        </w:rPr>
        <w:t>合理的配慮（第</w:t>
      </w:r>
      <w:r w:rsidR="00AF1B71" w:rsidRPr="00FF6309">
        <w:rPr>
          <w:rFonts w:ascii="ＭＳ ゴシック" w:eastAsia="ＭＳ ゴシック" w:hAnsi="ＭＳ ゴシック"/>
          <w:b/>
          <w:bCs/>
        </w:rPr>
        <w:t>5条）</w:t>
      </w:r>
    </w:p>
    <w:p w:rsidR="00F87D84" w:rsidRPr="00FF6309" w:rsidRDefault="00F87D84" w:rsidP="00AF1B71">
      <w:pPr>
        <w:rPr>
          <w:rFonts w:ascii="ＭＳ ゴシック" w:eastAsia="ＭＳ ゴシック" w:hAnsi="ＭＳ ゴシック"/>
          <w:b/>
          <w:bCs/>
        </w:rPr>
      </w:pPr>
    </w:p>
    <w:p w:rsidR="00AF1B71" w:rsidRPr="00FF6309" w:rsidRDefault="00650930" w:rsidP="00AF1B71">
      <w:pPr>
        <w:rPr>
          <w:rFonts w:ascii="ＭＳ ゴシック" w:eastAsia="ＭＳ ゴシック" w:hAnsi="ＭＳ ゴシック"/>
          <w:b/>
          <w:bCs/>
        </w:rPr>
      </w:pPr>
      <w:r>
        <w:rPr>
          <w:rFonts w:ascii="ＭＳ ゴシック" w:eastAsia="ＭＳ ゴシック" w:hAnsi="ＭＳ ゴシック" w:hint="eastAsia"/>
          <w:b/>
          <w:bCs/>
        </w:rPr>
        <w:t>インクルーシブ</w:t>
      </w:r>
      <w:r w:rsidR="00AF1B71" w:rsidRPr="00FF6309">
        <w:rPr>
          <w:rFonts w:ascii="ＭＳ ゴシック" w:eastAsia="ＭＳ ゴシック" w:hAnsi="ＭＳ ゴシック" w:hint="eastAsia"/>
          <w:b/>
          <w:bCs/>
        </w:rPr>
        <w:t>な平等と</w:t>
      </w:r>
      <w:r>
        <w:rPr>
          <w:rFonts w:ascii="ＭＳ ゴシック" w:eastAsia="ＭＳ ゴシック" w:hAnsi="ＭＳ ゴシック" w:hint="eastAsia"/>
          <w:b/>
          <w:bCs/>
        </w:rPr>
        <w:t>無差別</w:t>
      </w:r>
    </w:p>
    <w:p w:rsidR="00F87D84" w:rsidRDefault="00F87D84" w:rsidP="00AF1B71"/>
    <w:p w:rsidR="00AF1B71" w:rsidRDefault="00AF1B71" w:rsidP="00AF1B71">
      <w:r>
        <w:t>45.</w:t>
      </w:r>
      <w:r w:rsidR="005B4D8C">
        <w:t xml:space="preserve"> </w:t>
      </w:r>
      <w:r>
        <w:t>平等および</w:t>
      </w:r>
      <w:r w:rsidR="00650930">
        <w:t>無差別</w:t>
      </w:r>
      <w:r>
        <w:t>は、条約の基本であり、主要原則の1つ</w:t>
      </w:r>
      <w:r w:rsidR="003F6448">
        <w:t>である</w:t>
      </w:r>
      <w:r w:rsidR="007A2B8B" w:rsidRPr="00F000F1">
        <w:rPr>
          <w:rStyle w:val="ac"/>
          <w:rFonts w:cs="Arial"/>
        </w:rPr>
        <w:footnoteReference w:id="96"/>
      </w:r>
      <w:r>
        <w:t>。委員会によると、平等と</w:t>
      </w:r>
      <w:r w:rsidR="00650930">
        <w:t>無差別</w:t>
      </w:r>
      <w:r>
        <w:t>は原則と権利</w:t>
      </w:r>
      <w:r w:rsidR="00BE3FD2">
        <w:rPr>
          <w:rFonts w:hint="eastAsia"/>
        </w:rPr>
        <w:t>であり</w:t>
      </w:r>
      <w:r>
        <w:t>、条約によって保証された国際的保護の</w:t>
      </w:r>
      <w:r w:rsidR="00BE3FD2">
        <w:rPr>
          <w:rFonts w:hint="eastAsia"/>
        </w:rPr>
        <w:t>礎石であり、</w:t>
      </w:r>
      <w:r w:rsidR="00C03003">
        <w:rPr>
          <w:rFonts w:hint="eastAsia"/>
        </w:rPr>
        <w:t>条約に「うたわれている</w:t>
      </w:r>
      <w:r>
        <w:t>他のすべての原則と権利の解釈ツール」</w:t>
      </w:r>
      <w:r w:rsidR="007A2B8B" w:rsidRPr="00F000F1">
        <w:rPr>
          <w:rStyle w:val="ac"/>
          <w:rFonts w:cs="Arial"/>
        </w:rPr>
        <w:footnoteReference w:id="97"/>
      </w:r>
      <w:r w:rsidR="00C03003">
        <w:rPr>
          <w:rFonts w:hint="eastAsia"/>
        </w:rPr>
        <w:t>である</w:t>
      </w:r>
      <w:r>
        <w:t>。それらは、公共部門と民間部門の両方で即時適用の義務</w:t>
      </w:r>
      <w:r w:rsidR="00C03003">
        <w:rPr>
          <w:rFonts w:hint="eastAsia"/>
        </w:rPr>
        <w:t>である</w:t>
      </w:r>
      <w:r w:rsidR="007A2B8B" w:rsidRPr="00F000F1">
        <w:rPr>
          <w:rStyle w:val="ac"/>
          <w:rFonts w:cs="Arial"/>
        </w:rPr>
        <w:footnoteReference w:id="98"/>
      </w:r>
      <w:r>
        <w:t>。</w:t>
      </w:r>
    </w:p>
    <w:p w:rsidR="00F87D84" w:rsidRDefault="00F87D84" w:rsidP="00AF1B71"/>
    <w:p w:rsidR="00AF1B71" w:rsidRDefault="00AF1B71" w:rsidP="00AF1B71">
      <w:r w:rsidRPr="00BD06AA">
        <w:t xml:space="preserve">46. </w:t>
      </w:r>
      <w:r w:rsidR="005B4D8C" w:rsidRPr="00BD06AA">
        <w:t xml:space="preserve"> </w:t>
      </w:r>
      <w:r w:rsidRPr="00BD06AA">
        <w:t>2018年3月</w:t>
      </w:r>
      <w:r w:rsidR="00C03003" w:rsidRPr="00BD06AA">
        <w:rPr>
          <w:rFonts w:hint="eastAsia"/>
        </w:rPr>
        <w:t>、</w:t>
      </w:r>
      <w:r>
        <w:t>委員会は、平等と</w:t>
      </w:r>
      <w:r w:rsidR="00650930">
        <w:t>無差別</w:t>
      </w:r>
      <w:r>
        <w:t>に関する</w:t>
      </w:r>
      <w:r w:rsidR="00B61E9E">
        <w:t>一般的意見</w:t>
      </w:r>
      <w:r>
        <w:t>No. 6を採択</w:t>
      </w:r>
      <w:r w:rsidR="003F6448">
        <w:t>した</w:t>
      </w:r>
      <w:r>
        <w:t>。</w:t>
      </w:r>
      <w:r w:rsidR="00BD06AA">
        <w:rPr>
          <w:rFonts w:hint="eastAsia"/>
        </w:rPr>
        <w:t>これは現在、条約の第5条の主要解説文書となっており、次の諸次元での</w:t>
      </w:r>
      <w:r w:rsidR="00BF3B21">
        <w:rPr>
          <w:rFonts w:hint="eastAsia"/>
        </w:rPr>
        <w:t>「平等の実質的モデルを包含し、平等の内容を詳細に示す」、インクルーシブな平等の概念を前進させたものである。</w:t>
      </w:r>
      <w:r>
        <w:t>（a）社会経済的不利益に対処するための公正な再分配の次元</w:t>
      </w:r>
      <w:r w:rsidR="00BF3B21">
        <w:rPr>
          <w:rFonts w:hint="eastAsia"/>
        </w:rPr>
        <w:t>、</w:t>
      </w:r>
      <w:r>
        <w:t>（b）</w:t>
      </w:r>
      <w:r w:rsidR="00BF3B21">
        <w:rPr>
          <w:rFonts w:hint="eastAsia"/>
        </w:rPr>
        <w:t>汚名、固定観念</w:t>
      </w:r>
      <w:r>
        <w:t>、偏見、暴力と闘い、人間の尊厳とその交差性を</w:t>
      </w:r>
      <w:r w:rsidR="003800DE">
        <w:rPr>
          <w:rFonts w:hint="eastAsia"/>
        </w:rPr>
        <w:t>理解する</w:t>
      </w:r>
      <w:r>
        <w:t>認識の次元</w:t>
      </w:r>
      <w:r w:rsidR="003800DE">
        <w:rPr>
          <w:rFonts w:hint="eastAsia"/>
        </w:rPr>
        <w:t>、</w:t>
      </w:r>
      <w:r>
        <w:t>（c）社会集団の</w:t>
      </w:r>
      <w:r w:rsidR="003800DE">
        <w:rPr>
          <w:rFonts w:hint="eastAsia"/>
        </w:rPr>
        <w:t>一員</w:t>
      </w:r>
      <w:r>
        <w:t>としての</w:t>
      </w:r>
      <w:r w:rsidR="003800DE">
        <w:rPr>
          <w:rFonts w:hint="eastAsia"/>
        </w:rPr>
        <w:t>人間</w:t>
      </w:r>
      <w:r>
        <w:t>の社会的性質を再確認し、社会への</w:t>
      </w:r>
      <w:r w:rsidR="003800DE">
        <w:rPr>
          <w:rFonts w:hint="eastAsia"/>
        </w:rPr>
        <w:t>インクルージョン</w:t>
      </w:r>
      <w:r>
        <w:t>を通じて</w:t>
      </w:r>
      <w:r w:rsidR="003800DE">
        <w:rPr>
          <w:rFonts w:hint="eastAsia"/>
        </w:rPr>
        <w:t>人間性を</w:t>
      </w:r>
      <w:r>
        <w:t>完全に</w:t>
      </w:r>
      <w:r w:rsidR="003800DE">
        <w:rPr>
          <w:rFonts w:hint="eastAsia"/>
        </w:rPr>
        <w:t>理解する</w:t>
      </w:r>
      <w:r>
        <w:t>参加の</w:t>
      </w:r>
      <w:r w:rsidR="003800DE">
        <w:rPr>
          <w:rFonts w:hint="eastAsia"/>
        </w:rPr>
        <w:t>次元、</w:t>
      </w:r>
      <w:r>
        <w:t>（d）人間の尊厳の問題としての</w:t>
      </w:r>
      <w:r w:rsidR="003800DE">
        <w:rPr>
          <w:rFonts w:hint="eastAsia"/>
        </w:rPr>
        <w:t>差異への配慮をするための調整</w:t>
      </w:r>
      <w:r>
        <w:t>の次元</w:t>
      </w:r>
      <w:r w:rsidR="007A2B8B" w:rsidRPr="00F000F1">
        <w:rPr>
          <w:rStyle w:val="ac"/>
          <w:rFonts w:cs="Arial"/>
        </w:rPr>
        <w:footnoteReference w:id="99"/>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「障害に基づくあらゆる形態の差別」の禁止</w:t>
      </w:r>
    </w:p>
    <w:p w:rsidR="00F87D84" w:rsidRDefault="00F87D84" w:rsidP="00AF1B71"/>
    <w:p w:rsidR="00AF1B71" w:rsidRDefault="00AF1B71" w:rsidP="00AF1B71">
      <w:r>
        <w:t>47.</w:t>
      </w:r>
      <w:r w:rsidR="005B4D8C">
        <w:t xml:space="preserve"> </w:t>
      </w:r>
      <w:r>
        <w:t>障害に基づく差別は条約第2条で定義され、「合理的な配慮の</w:t>
      </w:r>
      <w:r w:rsidR="00CA7756">
        <w:rPr>
          <w:rFonts w:hint="eastAsia"/>
        </w:rPr>
        <w:t>否定</w:t>
      </w:r>
      <w:r>
        <w:t>を含むあらゆる形態の差別」</w:t>
      </w:r>
      <w:r w:rsidR="00CA7756">
        <w:rPr>
          <w:rFonts w:hint="eastAsia"/>
        </w:rPr>
        <w:t>と</w:t>
      </w:r>
      <w:r>
        <w:t>明示</w:t>
      </w:r>
      <w:r w:rsidR="00CA7756">
        <w:rPr>
          <w:rFonts w:hint="eastAsia"/>
        </w:rPr>
        <w:t>され</w:t>
      </w:r>
      <w:r>
        <w:t>ている。委員会は、障害のある女性に関する一般的意見</w:t>
      </w:r>
      <w:r w:rsidR="00CA7756">
        <w:rPr>
          <w:rFonts w:hint="eastAsia"/>
        </w:rPr>
        <w:t>No.</w:t>
      </w:r>
      <w:r>
        <w:t>3</w:t>
      </w:r>
      <w:r w:rsidR="007A2B8B" w:rsidRPr="00F000F1">
        <w:rPr>
          <w:rStyle w:val="ac"/>
          <w:rFonts w:cs="Arial"/>
        </w:rPr>
        <w:footnoteReference w:id="100"/>
      </w:r>
      <w:r w:rsidR="00CA7756">
        <w:rPr>
          <w:rFonts w:hint="eastAsia"/>
        </w:rPr>
        <w:t>と</w:t>
      </w:r>
      <w:r>
        <w:t>、平等と</w:t>
      </w:r>
      <w:r w:rsidR="00650930">
        <w:t>無差別</w:t>
      </w:r>
      <w:r>
        <w:t>に関する一般的意見</w:t>
      </w:r>
      <w:r w:rsidR="00CA7756">
        <w:rPr>
          <w:rFonts w:hint="eastAsia"/>
        </w:rPr>
        <w:t>No.</w:t>
      </w:r>
      <w:r>
        <w:t>6</w:t>
      </w:r>
      <w:r w:rsidR="007A2B8B" w:rsidRPr="00F000F1">
        <w:rPr>
          <w:rStyle w:val="ac"/>
          <w:rFonts w:cs="Arial"/>
        </w:rPr>
        <w:footnoteReference w:id="101"/>
      </w:r>
      <w:r w:rsidR="00CA7756">
        <w:rPr>
          <w:rFonts w:hint="eastAsia"/>
        </w:rPr>
        <w:t>において、障害に基づく多様な差別について詳しく述べている。差別の形態として禁止されるのは、</w:t>
      </w:r>
      <w:r>
        <w:t>直接差別、間接差別、</w:t>
      </w:r>
      <w:r w:rsidR="00502502">
        <w:rPr>
          <w:rFonts w:hint="eastAsia"/>
        </w:rPr>
        <w:t>関係者</w:t>
      </w:r>
      <w:r w:rsidRPr="00502502">
        <w:t>差別</w:t>
      </w:r>
      <w:r w:rsidR="007A2B8B">
        <w:rPr>
          <w:rStyle w:val="ac"/>
          <w:rFonts w:cs="Arial"/>
        </w:rPr>
        <w:footnoteReference w:id="102"/>
      </w:r>
      <w:r>
        <w:t>、合理的配慮の</w:t>
      </w:r>
      <w:r w:rsidR="00502502">
        <w:rPr>
          <w:rFonts w:hint="eastAsia"/>
        </w:rPr>
        <w:t>否定</w:t>
      </w:r>
      <w:r w:rsidR="007A2B8B">
        <w:rPr>
          <w:rStyle w:val="ac"/>
          <w:rFonts w:cs="Arial"/>
        </w:rPr>
        <w:footnoteReference w:id="103"/>
      </w:r>
      <w:r>
        <w:t>、構造的または組織的差別</w:t>
      </w:r>
      <w:r w:rsidR="007A2B8B">
        <w:rPr>
          <w:rStyle w:val="ac"/>
          <w:rFonts w:cs="Arial"/>
        </w:rPr>
        <w:footnoteReference w:id="104"/>
      </w:r>
      <w:r>
        <w:t>、嫌がらせ</w:t>
      </w:r>
      <w:r w:rsidR="007A2B8B" w:rsidRPr="00F000F1">
        <w:rPr>
          <w:rStyle w:val="ac"/>
          <w:rFonts w:cs="Arial"/>
        </w:rPr>
        <w:footnoteReference w:id="105"/>
      </w:r>
      <w:r>
        <w:t>、多重差別、交差差別など</w:t>
      </w:r>
      <w:r w:rsidR="00502502">
        <w:rPr>
          <w:rFonts w:hint="eastAsia"/>
        </w:rPr>
        <w:t>である</w:t>
      </w:r>
      <w:r w:rsidR="007A2B8B" w:rsidRPr="00F000F1">
        <w:rPr>
          <w:rStyle w:val="ac"/>
          <w:rFonts w:cs="Arial"/>
        </w:rPr>
        <w:footnoteReference w:id="106"/>
      </w:r>
      <w:r w:rsidR="00502502">
        <w:rPr>
          <w:rFonts w:hint="eastAsia"/>
        </w:rPr>
        <w:t>。</w:t>
      </w:r>
    </w:p>
    <w:p w:rsidR="00F87D84" w:rsidRDefault="00F87D84" w:rsidP="00AF1B71"/>
    <w:p w:rsidR="00AF1B71" w:rsidRDefault="00AF1B71" w:rsidP="00AF1B71">
      <w:r>
        <w:t xml:space="preserve">48. </w:t>
      </w:r>
      <w:r w:rsidR="005B4D8C">
        <w:t xml:space="preserve"> </w:t>
      </w:r>
      <w:r>
        <w:t>2018年7月現在、委員会が</w:t>
      </w:r>
      <w:r w:rsidR="00502502">
        <w:rPr>
          <w:rFonts w:hint="eastAsia"/>
        </w:rPr>
        <w:t>検討</w:t>
      </w:r>
      <w:r>
        <w:t>した24の</w:t>
      </w:r>
      <w:r w:rsidR="00502502">
        <w:rPr>
          <w:rFonts w:hint="eastAsia"/>
        </w:rPr>
        <w:t>個人通報</w:t>
      </w:r>
      <w:r>
        <w:t>のうち、7</w:t>
      </w:r>
      <w:r w:rsidR="00502502">
        <w:rPr>
          <w:rFonts w:hint="eastAsia"/>
        </w:rPr>
        <w:t>つ</w:t>
      </w:r>
      <w:r>
        <w:t>が障害に基づく差別を構成</w:t>
      </w:r>
      <w:r w:rsidR="003F6448">
        <w:t>した</w:t>
      </w:r>
      <w:r>
        <w:t>。第5条の違反は、合理的</w:t>
      </w:r>
      <w:r w:rsidR="00502502">
        <w:rPr>
          <w:rFonts w:hint="eastAsia"/>
        </w:rPr>
        <w:t>配慮</w:t>
      </w:r>
      <w:r>
        <w:t>の提供の失敗</w:t>
      </w:r>
      <w:r w:rsidR="007A2B8B" w:rsidRPr="00F000F1">
        <w:rPr>
          <w:rStyle w:val="ac"/>
          <w:rFonts w:cs="Arial"/>
        </w:rPr>
        <w:footnoteReference w:id="107"/>
      </w:r>
      <w:r>
        <w:t>、公開されている情報通信技術および施設とサービスへの</w:t>
      </w:r>
      <w:r w:rsidR="00502502">
        <w:t>他者と平等</w:t>
      </w:r>
      <w:r w:rsidR="00502502">
        <w:rPr>
          <w:rFonts w:hint="eastAsia"/>
        </w:rPr>
        <w:t>な</w:t>
      </w:r>
      <w:r>
        <w:t>アクセスの拒否</w:t>
      </w:r>
      <w:r w:rsidR="005C7580" w:rsidRPr="00F000F1">
        <w:rPr>
          <w:rStyle w:val="ac"/>
          <w:rFonts w:cs="Arial"/>
          <w:color w:val="000000"/>
        </w:rPr>
        <w:footnoteReference w:id="108"/>
      </w:r>
      <w:r>
        <w:t>、障害に基づく</w:t>
      </w:r>
      <w:r w:rsidR="00502502">
        <w:rPr>
          <w:rFonts w:hint="eastAsia"/>
        </w:rPr>
        <w:t>恣意的</w:t>
      </w:r>
      <w:r>
        <w:t>な拘留</w:t>
      </w:r>
      <w:r w:rsidR="005C7580" w:rsidRPr="00F000F1">
        <w:rPr>
          <w:rStyle w:val="ac"/>
          <w:rFonts w:cs="Arial"/>
          <w:color w:val="000000"/>
        </w:rPr>
        <w:footnoteReference w:id="109"/>
      </w:r>
      <w:r w:rsidR="005C7580">
        <w:rPr>
          <w:rFonts w:hint="eastAsia"/>
        </w:rPr>
        <w:t>、</w:t>
      </w:r>
      <w:r>
        <w:t>および</w:t>
      </w:r>
      <w:r w:rsidR="00502502">
        <w:t>暴力行為を防止し、</w:t>
      </w:r>
      <w:r w:rsidR="00502502">
        <w:rPr>
          <w:rFonts w:hint="eastAsia"/>
        </w:rPr>
        <w:t>効果</w:t>
      </w:r>
      <w:r w:rsidR="00502502">
        <w:t>的に</w:t>
      </w:r>
      <w:r w:rsidR="00502502">
        <w:rPr>
          <w:rFonts w:hint="eastAsia"/>
        </w:rPr>
        <w:t>操作</w:t>
      </w:r>
      <w:r w:rsidR="00502502">
        <w:t>し、処罰するために必要な</w:t>
      </w:r>
      <w:r w:rsidR="00502502">
        <w:rPr>
          <w:rFonts w:hint="eastAsia"/>
        </w:rPr>
        <w:t>あらゆる</w:t>
      </w:r>
      <w:r w:rsidR="00502502">
        <w:t>措置</w:t>
      </w:r>
      <w:r>
        <w:t>の不履行に関するもので</w:t>
      </w:r>
      <w:r w:rsidR="00502502">
        <w:rPr>
          <w:rFonts w:hint="eastAsia"/>
        </w:rPr>
        <w:t>あった</w:t>
      </w:r>
      <w:r w:rsidR="005C7580" w:rsidRPr="00F000F1">
        <w:rPr>
          <w:rStyle w:val="ac"/>
          <w:rFonts w:cs="Arial"/>
          <w:color w:val="000000"/>
        </w:rPr>
        <w:footnoteReference w:id="110"/>
      </w:r>
      <w:r>
        <w:t>。</w:t>
      </w:r>
    </w:p>
    <w:p w:rsidR="00F87D84" w:rsidRDefault="00F87D84" w:rsidP="00AF1B71">
      <w:pPr>
        <w:rPr>
          <w:b/>
          <w:bCs/>
        </w:rPr>
      </w:pPr>
    </w:p>
    <w:p w:rsidR="00AF1B71" w:rsidRPr="00FF6309" w:rsidRDefault="00502502" w:rsidP="00AF1B71">
      <w:pPr>
        <w:rPr>
          <w:rFonts w:ascii="ＭＳ ゴシック" w:eastAsia="ＭＳ ゴシック" w:hAnsi="ＭＳ ゴシック"/>
          <w:b/>
          <w:bCs/>
        </w:rPr>
      </w:pPr>
      <w:r>
        <w:rPr>
          <w:rFonts w:ascii="ＭＳ ゴシック" w:eastAsia="ＭＳ ゴシック" w:hAnsi="ＭＳ ゴシック" w:hint="eastAsia"/>
          <w:b/>
          <w:bCs/>
        </w:rPr>
        <w:t>合理的配慮</w:t>
      </w:r>
    </w:p>
    <w:p w:rsidR="00F87D84" w:rsidRDefault="00F87D84" w:rsidP="00AF1B71"/>
    <w:p w:rsidR="00AF1B71" w:rsidRDefault="00AF1B71" w:rsidP="00AF1B71">
      <w:r>
        <w:t>49.</w:t>
      </w:r>
      <w:r w:rsidR="005B4D8C">
        <w:t xml:space="preserve"> </w:t>
      </w:r>
      <w:r>
        <w:t>委員会は、合理的配慮を提供する義務に関して重要な説明を行った。合理的配慮はCRPD第2条で定義され</w:t>
      </w:r>
      <w:r w:rsidR="005C7580" w:rsidRPr="00542659">
        <w:rPr>
          <w:rStyle w:val="ac"/>
          <w:rFonts w:cs="Arial"/>
        </w:rPr>
        <w:footnoteReference w:id="111"/>
      </w:r>
      <w:r>
        <w:t>、条約の第5、14、24、27条で言及されて</w:t>
      </w:r>
      <w:r w:rsidR="003F6448">
        <w:t>いる</w:t>
      </w:r>
      <w:r>
        <w:t>。委員会はまた</w:t>
      </w:r>
      <w:r w:rsidR="004F3C1F">
        <w:rPr>
          <w:rFonts w:hint="eastAsia"/>
        </w:rPr>
        <w:t>総括所見</w:t>
      </w:r>
      <w:r w:rsidR="004F3C1F">
        <w:t>において</w:t>
      </w:r>
      <w:r w:rsidR="004F3C1F">
        <w:rPr>
          <w:rFonts w:hint="eastAsia"/>
        </w:rPr>
        <w:t>、</w:t>
      </w:r>
      <w:r>
        <w:t>第6、8、9、11、12、15、16、18、19、21、25、28、29条</w:t>
      </w:r>
      <w:r w:rsidR="004F3C1F">
        <w:rPr>
          <w:rFonts w:hint="eastAsia"/>
        </w:rPr>
        <w:t>で</w:t>
      </w:r>
      <w:r w:rsidR="00502502">
        <w:rPr>
          <w:rFonts w:hint="eastAsia"/>
        </w:rPr>
        <w:t>時々</w:t>
      </w:r>
      <w:r>
        <w:t>合理的配慮に言及した。</w:t>
      </w:r>
    </w:p>
    <w:p w:rsidR="00F87D84" w:rsidRDefault="00F87D84" w:rsidP="00AF1B71"/>
    <w:p w:rsidR="00AF1B71" w:rsidRDefault="00AF1B71" w:rsidP="00AF1B71">
      <w:r>
        <w:t>50.</w:t>
      </w:r>
      <w:r w:rsidR="005B4D8C">
        <w:t xml:space="preserve"> </w:t>
      </w:r>
      <w:r>
        <w:t>委員会は、合理的配慮と</w:t>
      </w:r>
      <w:r w:rsidR="004F3C1F">
        <w:rPr>
          <w:rFonts w:hint="eastAsia"/>
        </w:rPr>
        <w:t>、</w:t>
      </w:r>
      <w:r>
        <w:t>アクセシビリティ</w:t>
      </w:r>
      <w:r w:rsidR="005C7580" w:rsidRPr="00F000F1">
        <w:rPr>
          <w:rStyle w:val="ac"/>
          <w:rFonts w:cs="Arial"/>
          <w:szCs w:val="18"/>
        </w:rPr>
        <w:footnoteReference w:id="112"/>
      </w:r>
      <w:r>
        <w:t>、手続き的配慮</w:t>
      </w:r>
      <w:r w:rsidR="005C7580" w:rsidRPr="00F000F1">
        <w:rPr>
          <w:rStyle w:val="ac"/>
          <w:rFonts w:cs="Arial"/>
          <w:szCs w:val="18"/>
        </w:rPr>
        <w:footnoteReference w:id="113"/>
      </w:r>
      <w:r>
        <w:t>、「</w:t>
      </w:r>
      <w:r w:rsidR="004F3C1F">
        <w:rPr>
          <w:rFonts w:hint="eastAsia"/>
        </w:rPr>
        <w:t>肯定的行動</w:t>
      </w:r>
      <w:r>
        <w:t>措置」</w:t>
      </w:r>
      <w:r w:rsidR="005C7580" w:rsidRPr="00F000F1">
        <w:rPr>
          <w:rStyle w:val="ac"/>
          <w:rFonts w:cs="Arial"/>
          <w:szCs w:val="18"/>
        </w:rPr>
        <w:footnoteReference w:id="114"/>
      </w:r>
      <w:r>
        <w:t>を含む「特定の措置」、およびパーソナルアシスタントなどの支援措置</w:t>
      </w:r>
      <w:r w:rsidR="005C7580" w:rsidRPr="00F000F1">
        <w:rPr>
          <w:rStyle w:val="ac"/>
          <w:rFonts w:cs="Arial"/>
          <w:color w:val="000000"/>
          <w:szCs w:val="18"/>
        </w:rPr>
        <w:footnoteReference w:id="115"/>
      </w:r>
      <w:r>
        <w:t>、または法的能力を行使するための支援</w:t>
      </w:r>
      <w:r w:rsidR="005C7580" w:rsidRPr="00F000F1">
        <w:rPr>
          <w:rStyle w:val="ac"/>
          <w:rFonts w:cs="Arial"/>
          <w:szCs w:val="18"/>
        </w:rPr>
        <w:footnoteReference w:id="116"/>
      </w:r>
      <w:r>
        <w:t>の区別を強調した。</w:t>
      </w:r>
      <w:r w:rsidR="004F3C1F">
        <w:rPr>
          <w:rFonts w:hint="eastAsia"/>
        </w:rPr>
        <w:t>これら</w:t>
      </w:r>
      <w:r>
        <w:t>の措置とは異なり、合理的</w:t>
      </w:r>
      <w:r w:rsidR="004F3C1F">
        <w:rPr>
          <w:rFonts w:hint="eastAsia"/>
        </w:rPr>
        <w:t>配慮</w:t>
      </w:r>
      <w:r>
        <w:t>は、個人に直接適用される</w:t>
      </w:r>
      <w:r w:rsidR="004F3C1F">
        <w:rPr>
          <w:rFonts w:hint="eastAsia"/>
        </w:rPr>
        <w:t>「これから</w:t>
      </w:r>
      <w:r>
        <w:t>（将来</w:t>
      </w:r>
      <w:r w:rsidR="004F3C1F">
        <w:rPr>
          <w:rFonts w:hint="eastAsia"/>
        </w:rPr>
        <w:t>の</w:t>
      </w:r>
      <w:r>
        <w:t>）</w:t>
      </w:r>
      <w:r w:rsidR="004F3C1F">
        <w:rPr>
          <w:rFonts w:hint="eastAsia"/>
        </w:rPr>
        <w:t>」義務</w:t>
      </w:r>
      <w:r>
        <w:t>であり、</w:t>
      </w:r>
      <w:r w:rsidR="004F3C1F">
        <w:rPr>
          <w:rFonts w:hint="eastAsia"/>
        </w:rPr>
        <w:t>配慮側</w:t>
      </w:r>
      <w:r>
        <w:t>に対する過剰または不当な負担</w:t>
      </w:r>
      <w:r w:rsidR="00E8041D">
        <w:rPr>
          <w:rFonts w:hint="eastAsia"/>
        </w:rPr>
        <w:t>によってしばられる</w:t>
      </w:r>
      <w:r w:rsidR="005C7580" w:rsidRPr="00F000F1">
        <w:rPr>
          <w:rStyle w:val="ac"/>
          <w:rFonts w:cs="Arial"/>
          <w:szCs w:val="18"/>
        </w:rPr>
        <w:footnoteReference w:id="117"/>
      </w:r>
      <w:r w:rsidR="00E8041D">
        <w:rPr>
          <w:rFonts w:hint="eastAsia"/>
        </w:rPr>
        <w:t>。</w:t>
      </w:r>
    </w:p>
    <w:p w:rsidR="00F87D84" w:rsidRDefault="00F87D84" w:rsidP="00AF1B71"/>
    <w:p w:rsidR="00AF1B71" w:rsidRDefault="00AF1B71" w:rsidP="00AF1B71">
      <w:r>
        <w:t>51.</w:t>
      </w:r>
      <w:r w:rsidR="005B4D8C">
        <w:t xml:space="preserve"> </w:t>
      </w:r>
      <w:r>
        <w:t>インクルーシブ教育に関する</w:t>
      </w:r>
      <w:r w:rsidR="00B61E9E">
        <w:t>一般的意見</w:t>
      </w:r>
      <w:r>
        <w:t>No. 4で、委員会は</w:t>
      </w:r>
      <w:r w:rsidR="00E8041D">
        <w:rPr>
          <w:rFonts w:hint="eastAsia"/>
        </w:rPr>
        <w:t>、</w:t>
      </w:r>
      <w:r>
        <w:t>「</w:t>
      </w:r>
      <w:r w:rsidR="00E8041D">
        <w:rPr>
          <w:rFonts w:hint="eastAsia"/>
        </w:rPr>
        <w:t>措置</w:t>
      </w:r>
      <w:r>
        <w:t>の合理性」の解釈</w:t>
      </w:r>
      <w:r w:rsidR="00E8041D">
        <w:rPr>
          <w:rFonts w:hint="eastAsia"/>
        </w:rPr>
        <w:t>の仕方</w:t>
      </w:r>
      <w:r>
        <w:t>に関する情報を提供</w:t>
      </w:r>
      <w:r w:rsidR="003F6448">
        <w:t>した</w:t>
      </w:r>
      <w:r>
        <w:t>。</w:t>
      </w:r>
      <w:r w:rsidR="00E8041D">
        <w:rPr>
          <w:rFonts w:hint="eastAsia"/>
        </w:rPr>
        <w:t>配慮の</w:t>
      </w:r>
      <w:r>
        <w:t>関連性</w:t>
      </w:r>
      <w:r w:rsidR="00E8041D">
        <w:rPr>
          <w:rFonts w:hint="eastAsia"/>
        </w:rPr>
        <w:t>（重要性）および</w:t>
      </w:r>
      <w:r>
        <w:t>有効性</w:t>
      </w:r>
      <w:r w:rsidR="00E8041D">
        <w:rPr>
          <w:rFonts w:hint="eastAsia"/>
        </w:rPr>
        <w:t>と</w:t>
      </w:r>
      <w:r w:rsidR="00D626EB">
        <w:rPr>
          <w:rFonts w:hint="eastAsia"/>
        </w:rPr>
        <w:t>期待される</w:t>
      </w:r>
      <w:r w:rsidR="00E8041D">
        <w:rPr>
          <w:rFonts w:hint="eastAsia"/>
        </w:rPr>
        <w:t>差別に</w:t>
      </w:r>
      <w:r w:rsidR="00D626EB">
        <w:rPr>
          <w:rFonts w:hint="eastAsia"/>
        </w:rPr>
        <w:t>対抗する目標</w:t>
      </w:r>
      <w:r>
        <w:t>の分析を含む文脈テストの結果として「合理性」</w:t>
      </w:r>
      <w:r w:rsidR="00D626EB">
        <w:rPr>
          <w:rFonts w:hint="eastAsia"/>
        </w:rPr>
        <w:t>を</w:t>
      </w:r>
      <w:r>
        <w:t>説明</w:t>
      </w:r>
      <w:r w:rsidR="00D626EB">
        <w:rPr>
          <w:rFonts w:hint="eastAsia"/>
        </w:rPr>
        <w:t>している</w:t>
      </w:r>
      <w:r w:rsidR="005C7580" w:rsidRPr="00F000F1">
        <w:rPr>
          <w:rStyle w:val="ac"/>
          <w:rFonts w:cs="Arial"/>
        </w:rPr>
        <w:footnoteReference w:id="118"/>
      </w:r>
      <w:r w:rsidR="005C7580">
        <w:rPr>
          <w:rFonts w:hint="eastAsia"/>
        </w:rPr>
        <w:t xml:space="preserve"> </w:t>
      </w:r>
      <w:r w:rsidR="005C7580" w:rsidRPr="00F000F1">
        <w:rPr>
          <w:rStyle w:val="ac"/>
          <w:rFonts w:cs="Arial"/>
        </w:rPr>
        <w:footnoteReference w:id="119"/>
      </w:r>
      <w:r w:rsidR="00D626EB">
        <w:rPr>
          <w:rFonts w:hint="eastAsia"/>
        </w:rPr>
        <w:t>。その際、釣り合いも文脈によるとも強調している。</w:t>
      </w:r>
      <w:r>
        <w:t>合理的配慮を提供する義務の実施</w:t>
      </w:r>
      <w:r w:rsidR="00D626EB">
        <w:rPr>
          <w:rFonts w:hint="eastAsia"/>
        </w:rPr>
        <w:t>の指針となる</w:t>
      </w:r>
      <w:r>
        <w:t>重要な要素は、</w:t>
      </w:r>
      <w:r w:rsidR="00B61E9E">
        <w:t>一般的意見</w:t>
      </w:r>
      <w:r>
        <w:t>No. 6で提供されて</w:t>
      </w:r>
      <w:r w:rsidR="003F6448">
        <w:t>いる</w:t>
      </w:r>
      <w:r w:rsidR="005C7580" w:rsidRPr="00F000F1">
        <w:rPr>
          <w:rStyle w:val="ac"/>
          <w:rFonts w:cs="Arial"/>
        </w:rPr>
        <w:footnoteReference w:id="120"/>
      </w:r>
      <w:r>
        <w:t>。</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Pr="00FF6309">
        <w:rPr>
          <w:rFonts w:ascii="ＭＳ ゴシック" w:eastAsia="ＭＳ ゴシック" w:hAnsi="ＭＳ ゴシック"/>
          <w:b/>
          <w:bCs/>
        </w:rPr>
        <w:t>アクセシビリティ（第9条）</w:t>
      </w:r>
    </w:p>
    <w:p w:rsidR="00F87D84" w:rsidRDefault="00F87D84" w:rsidP="00AF1B71"/>
    <w:p w:rsidR="00AF1B71" w:rsidRDefault="00AF1B71" w:rsidP="00AF1B71">
      <w:r w:rsidRPr="00B7754E">
        <w:t>52.</w:t>
      </w:r>
      <w:r w:rsidR="005B4D8C" w:rsidRPr="00B7754E">
        <w:t xml:space="preserve"> </w:t>
      </w:r>
      <w:r w:rsidRPr="00B7754E">
        <w:t>アクセシ</w:t>
      </w:r>
      <w:r>
        <w:t>ビリティは、障害のある人が独立して生活し、社会に完全かつ平等に参加するための前提条件</w:t>
      </w:r>
      <w:r w:rsidR="003F6448">
        <w:t>である</w:t>
      </w:r>
      <w:r>
        <w:t>。そのため、条約の主要な横断的</w:t>
      </w:r>
      <w:r w:rsidR="00641BA2">
        <w:rPr>
          <w:rFonts w:hint="eastAsia"/>
        </w:rPr>
        <w:t>条項</w:t>
      </w:r>
      <w:r>
        <w:t>の1つ</w:t>
      </w:r>
      <w:r w:rsidR="003F6448">
        <w:t>である</w:t>
      </w:r>
      <w:r w:rsidR="00B7754E" w:rsidRPr="00F000F1">
        <w:rPr>
          <w:rStyle w:val="ac"/>
          <w:rFonts w:cs="Arial"/>
        </w:rPr>
        <w:footnoteReference w:id="121"/>
      </w:r>
      <w:r>
        <w:t>。委員会は、すべての</w:t>
      </w:r>
      <w:r w:rsidR="00B61E9E">
        <w:t>一般的意見</w:t>
      </w:r>
      <w:r>
        <w:t>と</w:t>
      </w:r>
      <w:r w:rsidR="00641BA2">
        <w:rPr>
          <w:rFonts w:hint="eastAsia"/>
        </w:rPr>
        <w:t>総括所見</w:t>
      </w:r>
      <w:r>
        <w:t>、および</w:t>
      </w:r>
      <w:r w:rsidR="00641BA2">
        <w:rPr>
          <w:rFonts w:hint="eastAsia"/>
        </w:rPr>
        <w:t>通報</w:t>
      </w:r>
      <w:r>
        <w:t>に関する6つの見解でアクセシビリティを取り上げ</w:t>
      </w:r>
      <w:r w:rsidR="003F6448">
        <w:t>た</w:t>
      </w:r>
      <w:r w:rsidR="00B7754E">
        <w:rPr>
          <w:rStyle w:val="ac"/>
          <w:rFonts w:cs="Arial"/>
        </w:rPr>
        <w:footnoteReference w:id="122"/>
      </w:r>
      <w:r>
        <w:t>。委員会の第11</w:t>
      </w:r>
      <w:r w:rsidR="00641BA2">
        <w:rPr>
          <w:rFonts w:hint="eastAsia"/>
        </w:rPr>
        <w:t>会期の</w:t>
      </w:r>
      <w:r>
        <w:t>2014年4月に採択された</w:t>
      </w:r>
      <w:r w:rsidR="00B61E9E">
        <w:t>一般的意見</w:t>
      </w:r>
      <w:r>
        <w:t>No. 2は、アクセシビリティに関する詳細な文書</w:t>
      </w:r>
      <w:r w:rsidR="003F6448">
        <w:t>である</w:t>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アクセシビリティ、ユニバーサルデザイン、合理的</w:t>
      </w:r>
      <w:r w:rsidR="00641BA2">
        <w:rPr>
          <w:rFonts w:ascii="ＭＳ ゴシック" w:eastAsia="ＭＳ ゴシック" w:hAnsi="ＭＳ ゴシック" w:hint="eastAsia"/>
          <w:b/>
          <w:bCs/>
        </w:rPr>
        <w:t>配慮</w:t>
      </w:r>
    </w:p>
    <w:p w:rsidR="00F87D84" w:rsidRDefault="00F87D84" w:rsidP="00AF1B71"/>
    <w:p w:rsidR="00AF1B71" w:rsidRDefault="00AF1B71" w:rsidP="00AF1B71">
      <w:r w:rsidRPr="00892F0D">
        <w:t>53.</w:t>
      </w:r>
      <w:r w:rsidR="005B4D8C" w:rsidRPr="00892F0D">
        <w:t xml:space="preserve"> </w:t>
      </w:r>
      <w:r w:rsidRPr="00892F0D">
        <w:t>委員会は、物理的環</w:t>
      </w:r>
      <w:r>
        <w:t>境、輸送、情報と通信およびサービスを含む、</w:t>
      </w:r>
      <w:r w:rsidR="0030629B">
        <w:rPr>
          <w:rFonts w:hint="eastAsia"/>
        </w:rPr>
        <w:t>複雑な</w:t>
      </w:r>
      <w:r w:rsidR="00352327">
        <w:rPr>
          <w:rFonts w:hint="eastAsia"/>
        </w:rPr>
        <w:t>側面</w:t>
      </w:r>
      <w:r w:rsidR="0030629B">
        <w:rPr>
          <w:rFonts w:hint="eastAsia"/>
        </w:rPr>
        <w:t>のすべてにおいて</w:t>
      </w:r>
      <w:r>
        <w:t>アクセシビリティに対処しなければならないことに留意した</w:t>
      </w:r>
      <w:r w:rsidR="00B7754E" w:rsidRPr="00F000F1">
        <w:rPr>
          <w:rStyle w:val="ac"/>
          <w:rFonts w:cs="Arial"/>
        </w:rPr>
        <w:footnoteReference w:id="123"/>
      </w:r>
      <w:r>
        <w:t>。採用されたアプローチは、</w:t>
      </w:r>
      <w:r w:rsidR="00650930">
        <w:t>差別</w:t>
      </w:r>
      <w:r>
        <w:t>禁止に由来</w:t>
      </w:r>
      <w:r w:rsidR="0030629B">
        <w:rPr>
          <w:rFonts w:hint="eastAsia"/>
        </w:rPr>
        <w:t>する。すなわち、</w:t>
      </w:r>
      <w:r>
        <w:t>障害のある人</w:t>
      </w:r>
      <w:r w:rsidR="0030629B">
        <w:rPr>
          <w:rFonts w:hint="eastAsia"/>
        </w:rPr>
        <w:t>は</w:t>
      </w:r>
      <w:r>
        <w:t>、効果的かつ平等なアクセス</w:t>
      </w:r>
      <w:r w:rsidR="0030629B">
        <w:rPr>
          <w:rFonts w:hint="eastAsia"/>
        </w:rPr>
        <w:t>が</w:t>
      </w:r>
      <w:r>
        <w:t>保証</w:t>
      </w:r>
      <w:r w:rsidR="0030629B">
        <w:rPr>
          <w:rFonts w:hint="eastAsia"/>
        </w:rPr>
        <w:t>され</w:t>
      </w:r>
      <w:r>
        <w:t>、尊厳</w:t>
      </w:r>
      <w:r w:rsidR="0030629B">
        <w:rPr>
          <w:rFonts w:hint="eastAsia"/>
        </w:rPr>
        <w:t>が</w:t>
      </w:r>
      <w:r>
        <w:t>尊重</w:t>
      </w:r>
      <w:r w:rsidR="0030629B">
        <w:rPr>
          <w:rFonts w:hint="eastAsia"/>
        </w:rPr>
        <w:t>される</w:t>
      </w:r>
      <w:r>
        <w:t>方法で、公開または</w:t>
      </w:r>
      <w:r w:rsidR="0030629B">
        <w:rPr>
          <w:rFonts w:hint="eastAsia"/>
        </w:rPr>
        <w:t>提供</w:t>
      </w:r>
      <w:r>
        <w:t>されているすべての商品、製品、サービスに平等にアクセスできる必要が</w:t>
      </w:r>
      <w:r w:rsidR="003F6448">
        <w:t>ある</w:t>
      </w:r>
      <w:r>
        <w:t>。そのため、一般に公開されている製品とサービスは、公的機関または民間企業が所有および/または提供するかどうかに関係なく、すべての人がアクセスできる必要が</w:t>
      </w:r>
      <w:r w:rsidR="003F6448">
        <w:t>ある</w:t>
      </w:r>
      <w:r w:rsidR="00B7754E" w:rsidRPr="00F000F1">
        <w:rPr>
          <w:rStyle w:val="ac"/>
          <w:rFonts w:cs="Arial"/>
        </w:rPr>
        <w:footnoteReference w:id="124"/>
      </w:r>
      <w:r>
        <w:rPr>
          <w:rFonts w:hint="eastAsia"/>
        </w:rPr>
        <w:t>。さらに委員会は、アクセシビリティ</w:t>
      </w:r>
      <w:r w:rsidR="0030629B">
        <w:rPr>
          <w:rFonts w:hint="eastAsia"/>
        </w:rPr>
        <w:t>基準</w:t>
      </w:r>
      <w:r>
        <w:rPr>
          <w:rFonts w:hint="eastAsia"/>
        </w:rPr>
        <w:t>の厳格な</w:t>
      </w:r>
      <w:r w:rsidR="0030629B">
        <w:rPr>
          <w:rFonts w:hint="eastAsia"/>
        </w:rPr>
        <w:t>実施</w:t>
      </w:r>
      <w:r>
        <w:rPr>
          <w:rFonts w:hint="eastAsia"/>
        </w:rPr>
        <w:t>を通じてアクセス権が確保さ</w:t>
      </w:r>
      <w:r w:rsidR="0030629B">
        <w:rPr>
          <w:rFonts w:hint="eastAsia"/>
        </w:rPr>
        <w:t>れ</w:t>
      </w:r>
      <w:r>
        <w:rPr>
          <w:rFonts w:hint="eastAsia"/>
        </w:rPr>
        <w:t>ることに留意した。アクセスの障壁は、完全なアクセシビリティ</w:t>
      </w:r>
      <w:r w:rsidR="0030629B">
        <w:rPr>
          <w:rFonts w:hint="eastAsia"/>
        </w:rPr>
        <w:t>の</w:t>
      </w:r>
      <w:r>
        <w:rPr>
          <w:rFonts w:hint="eastAsia"/>
        </w:rPr>
        <w:t>達成を目的として、体系的かつ継続的に監視される方法で徐々に取り除かれるべき</w:t>
      </w:r>
      <w:r w:rsidR="003F6448">
        <w:rPr>
          <w:rFonts w:hint="eastAsia"/>
        </w:rPr>
        <w:t>である</w:t>
      </w:r>
      <w:r w:rsidR="00B7754E" w:rsidRPr="00F000F1">
        <w:rPr>
          <w:rStyle w:val="ac"/>
          <w:rFonts w:cs="Arial"/>
        </w:rPr>
        <w:footnoteReference w:id="125"/>
      </w:r>
      <w:r>
        <w:rPr>
          <w:rFonts w:hint="eastAsia"/>
        </w:rPr>
        <w:t>。</w:t>
      </w:r>
    </w:p>
    <w:p w:rsidR="00F87D84" w:rsidRDefault="00F87D84" w:rsidP="00AF1B71"/>
    <w:p w:rsidR="00AF1B71" w:rsidRDefault="00AF1B71" w:rsidP="00AF1B71">
      <w:r>
        <w:t>54.</w:t>
      </w:r>
      <w:r w:rsidR="005B4D8C">
        <w:t xml:space="preserve"> </w:t>
      </w:r>
      <w:r>
        <w:t>ユニバーサルデザインは、</w:t>
      </w:r>
      <w:r w:rsidR="00F16AB9">
        <w:t>社会</w:t>
      </w:r>
      <w:r w:rsidR="00F16AB9">
        <w:rPr>
          <w:rFonts w:hint="eastAsia"/>
        </w:rPr>
        <w:t>を</w:t>
      </w:r>
      <w:r>
        <w:t>すべての人間が</w:t>
      </w:r>
      <w:r w:rsidR="00F16AB9">
        <w:rPr>
          <w:rFonts w:hint="eastAsia"/>
        </w:rPr>
        <w:t>利用できるよう</w:t>
      </w:r>
      <w:r>
        <w:t>にするアクセシビリティの重要な要素</w:t>
      </w:r>
      <w:r w:rsidR="003F6448">
        <w:t>である</w:t>
      </w:r>
      <w:r w:rsidR="00B7754E" w:rsidRPr="00F000F1">
        <w:rPr>
          <w:rStyle w:val="ac"/>
          <w:rFonts w:cs="Arial"/>
        </w:rPr>
        <w:footnoteReference w:id="126"/>
      </w:r>
      <w:r>
        <w:t>。条約第2条では、</w:t>
      </w:r>
      <w:r w:rsidR="00F16AB9">
        <w:rPr>
          <w:rFonts w:hint="eastAsia"/>
        </w:rPr>
        <w:t>「</w:t>
      </w:r>
      <w:r w:rsidR="00F16AB9" w:rsidRPr="00F16AB9">
        <w:rPr>
          <w:rFonts w:hint="eastAsia"/>
        </w:rPr>
        <w:t>調整又は特別な設計を必要とすることなく、最大限可能な範囲で全ての人が使用することのできる製品、環境、計画及びサービスの設計</w:t>
      </w:r>
      <w:r w:rsidR="00F16AB9">
        <w:rPr>
          <w:rFonts w:hint="eastAsia"/>
        </w:rPr>
        <w:t>」</w:t>
      </w:r>
      <w:r w:rsidR="00F16AB9" w:rsidRPr="00F16AB9">
        <w:rPr>
          <w:rFonts w:hint="eastAsia"/>
        </w:rPr>
        <w:t>をいう</w:t>
      </w:r>
      <w:r w:rsidR="00F16AB9">
        <w:t>と定義している。</w:t>
      </w:r>
      <w:r>
        <w:t>委員会は、</w:t>
      </w:r>
      <w:r w:rsidR="00F16AB9">
        <w:rPr>
          <w:rFonts w:hint="eastAsia"/>
        </w:rPr>
        <w:t>一般的意見No.2で、</w:t>
      </w:r>
      <w:r>
        <w:t>すべての新しい商品、製品、施設、技術およびサービスへのユニバーサルデザインの厳格な適用により、</w:t>
      </w:r>
      <w:r w:rsidR="00274DCA">
        <w:t>障害のある人</w:t>
      </w:r>
      <w:r>
        <w:t>を含むすべての潜在的消費者に完全</w:t>
      </w:r>
      <w:r w:rsidR="00F16AB9">
        <w:rPr>
          <w:rFonts w:hint="eastAsia"/>
        </w:rPr>
        <w:t>、</w:t>
      </w:r>
      <w:r>
        <w:t>平等かつ無制限のアクセスを確保</w:t>
      </w:r>
      <w:r w:rsidR="000C7315">
        <w:rPr>
          <w:rFonts w:hint="eastAsia"/>
        </w:rPr>
        <w:t>すべきであること、そして、</w:t>
      </w:r>
      <w:r w:rsidR="00F16AB9">
        <w:rPr>
          <w:rFonts w:hint="eastAsia"/>
        </w:rPr>
        <w:t>障壁のない</w:t>
      </w:r>
      <w:r w:rsidR="00F16AB9">
        <w:t>特定の空間内の動きを含</w:t>
      </w:r>
      <w:r w:rsidR="00F16AB9">
        <w:rPr>
          <w:rFonts w:hint="eastAsia"/>
        </w:rPr>
        <w:t>め、ある空間から別の空間への個人の移動の制約のない連鎖</w:t>
      </w:r>
      <w:r>
        <w:t>の構築に貢献</w:t>
      </w:r>
      <w:r w:rsidR="000C7315">
        <w:rPr>
          <w:rFonts w:hint="eastAsia"/>
        </w:rPr>
        <w:t>すべきであることに</w:t>
      </w:r>
      <w:r>
        <w:t>留意した</w:t>
      </w:r>
      <w:r w:rsidR="00FB3CB7" w:rsidRPr="00F000F1">
        <w:rPr>
          <w:rStyle w:val="ac"/>
          <w:rFonts w:cs="Arial"/>
        </w:rPr>
        <w:footnoteReference w:id="127"/>
      </w:r>
      <w:r>
        <w:rPr>
          <w:rFonts w:hint="eastAsia"/>
        </w:rPr>
        <w:t>。アクセシビリティはグループに関連しており、合理的配慮</w:t>
      </w:r>
      <w:r w:rsidR="000C7315">
        <w:rPr>
          <w:rFonts w:hint="eastAsia"/>
        </w:rPr>
        <w:t>とは異なり</w:t>
      </w:r>
      <w:r>
        <w:rPr>
          <w:rFonts w:hint="eastAsia"/>
        </w:rPr>
        <w:t>、アクセシビリティを提供する義務は事前の義務であり、無条件であることに留意</w:t>
      </w:r>
      <w:r w:rsidR="003F6448">
        <w:rPr>
          <w:rFonts w:hint="eastAsia"/>
        </w:rPr>
        <w:t>した</w:t>
      </w:r>
      <w:r w:rsidR="00FB3CB7" w:rsidRPr="00F000F1">
        <w:rPr>
          <w:rStyle w:val="ac"/>
          <w:rFonts w:cs="Arial"/>
        </w:rPr>
        <w:footnoteReference w:id="128"/>
      </w:r>
      <w:r>
        <w:rPr>
          <w:rFonts w:hint="eastAsia"/>
        </w:rPr>
        <w:t>。</w:t>
      </w:r>
    </w:p>
    <w:p w:rsidR="00F87D84" w:rsidRDefault="00F87D84" w:rsidP="00AF1B71"/>
    <w:p w:rsidR="00AF1B71" w:rsidRDefault="00AF1B71" w:rsidP="00AF1B71">
      <w:r>
        <w:t>55.</w:t>
      </w:r>
      <w:r w:rsidR="005B4D8C">
        <w:t xml:space="preserve"> </w:t>
      </w:r>
      <w:r>
        <w:t>新しい商品、製品、施設、技術、サービスの</w:t>
      </w:r>
      <w:r w:rsidR="000C7315">
        <w:rPr>
          <w:rFonts w:hint="eastAsia"/>
        </w:rPr>
        <w:t>ユニバーサルデザイン</w:t>
      </w:r>
      <w:r>
        <w:t>を確保することに加えて、アクセシビリティは、残っている障壁の除去を伴う。締約国は、明確な時間枠を確立し、</w:t>
      </w:r>
      <w:r w:rsidR="000C7315">
        <w:rPr>
          <w:rFonts w:hint="eastAsia"/>
        </w:rPr>
        <w:t>その除去</w:t>
      </w:r>
      <w:r>
        <w:t>に十分な</w:t>
      </w:r>
      <w:r w:rsidR="000C7315">
        <w:rPr>
          <w:rFonts w:hint="eastAsia"/>
        </w:rPr>
        <w:t>資源</w:t>
      </w:r>
      <w:r>
        <w:t>を割り当てる必要が</w:t>
      </w:r>
      <w:r w:rsidR="003F6448">
        <w:t>ある</w:t>
      </w:r>
      <w:r w:rsidR="00FB3CB7" w:rsidRPr="00F000F1">
        <w:rPr>
          <w:rStyle w:val="ac"/>
          <w:rFonts w:cs="Arial"/>
        </w:rPr>
        <w:footnoteReference w:id="129"/>
      </w:r>
      <w:r>
        <w:t>。締約国は、</w:t>
      </w:r>
      <w:r w:rsidR="004C3C1B">
        <w:rPr>
          <w:rFonts w:hint="eastAsia"/>
        </w:rPr>
        <w:t>条約に沿って、</w:t>
      </w:r>
      <w:r>
        <w:t>アクセシビリティに関する法的規定を採択するか、</w:t>
      </w:r>
      <w:r w:rsidR="004C3C1B">
        <w:rPr>
          <w:rFonts w:hint="eastAsia"/>
        </w:rPr>
        <w:t>現行法を</w:t>
      </w:r>
      <w:r>
        <w:t>アクセシビリティの要件を取り入れ</w:t>
      </w:r>
      <w:r w:rsidR="004C3C1B">
        <w:rPr>
          <w:rFonts w:hint="eastAsia"/>
        </w:rPr>
        <w:t>て見直すべきである</w:t>
      </w:r>
      <w:r w:rsidR="00FB3CB7" w:rsidRPr="00F000F1">
        <w:rPr>
          <w:rStyle w:val="ac"/>
          <w:rFonts w:cs="Arial"/>
        </w:rPr>
        <w:footnoteReference w:id="130"/>
      </w:r>
      <w:r w:rsidR="004C3C1B">
        <w:rPr>
          <w:rFonts w:hint="eastAsia"/>
        </w:rPr>
        <w:t>。また、公共</w:t>
      </w:r>
      <w:r w:rsidR="004C3C1B">
        <w:t>調達法に</w:t>
      </w:r>
      <w:r>
        <w:t>アクセシビリティに関する</w:t>
      </w:r>
      <w:r w:rsidR="004C3C1B">
        <w:rPr>
          <w:rFonts w:hint="eastAsia"/>
        </w:rPr>
        <w:t>要件を取り入れ</w:t>
      </w:r>
      <w:r w:rsidR="00FB3CB7" w:rsidRPr="00F000F1">
        <w:rPr>
          <w:rStyle w:val="ac"/>
          <w:rFonts w:cs="Arial"/>
        </w:rPr>
        <w:footnoteReference w:id="131"/>
      </w:r>
      <w:r w:rsidR="004C3C1B">
        <w:rPr>
          <w:rFonts w:hint="eastAsia"/>
        </w:rPr>
        <w:t>、アクセシビリティの</w:t>
      </w:r>
      <w:r>
        <w:t>最低基準を確立し</w:t>
      </w:r>
      <w:r w:rsidR="00FB3CB7" w:rsidRPr="00F000F1">
        <w:rPr>
          <w:rStyle w:val="ac"/>
          <w:rFonts w:cs="Arial"/>
        </w:rPr>
        <w:footnoteReference w:id="132"/>
      </w:r>
      <w:r>
        <w:t>、十分な能力を備え</w:t>
      </w:r>
      <w:r w:rsidR="004C3C1B">
        <w:rPr>
          <w:rFonts w:hint="eastAsia"/>
        </w:rPr>
        <w:t>、計画、戦略、基準が確実に実施され、執行されるための適切な使命を備えた、</w:t>
      </w:r>
      <w:r>
        <w:t>効率的なモニタリング機関を備えた効果的なモニタリング枠組みを開発す</w:t>
      </w:r>
      <w:r w:rsidR="00E33B8A">
        <w:rPr>
          <w:rFonts w:hint="eastAsia"/>
        </w:rPr>
        <w:t>べきである</w:t>
      </w:r>
      <w:r w:rsidR="00FB3CB7" w:rsidRPr="00F000F1">
        <w:rPr>
          <w:rStyle w:val="ac"/>
          <w:rFonts w:cs="Arial"/>
        </w:rPr>
        <w:footnoteReference w:id="133"/>
      </w:r>
      <w:r w:rsidR="00E33B8A">
        <w:rPr>
          <w:rFonts w:hint="eastAsia"/>
        </w:rPr>
        <w:t>。</w:t>
      </w:r>
    </w:p>
    <w:p w:rsidR="00F87D84" w:rsidRDefault="00F87D84" w:rsidP="00AF1B71"/>
    <w:p w:rsidR="00AF1B71" w:rsidRDefault="00AF1B71" w:rsidP="00AF1B71">
      <w:r>
        <w:t>56.</w:t>
      </w:r>
      <w:r w:rsidR="005B4D8C">
        <w:t xml:space="preserve"> </w:t>
      </w:r>
      <w:r>
        <w:t>委員会は、一般</w:t>
      </w:r>
      <w:r w:rsidR="00427768">
        <w:rPr>
          <w:rFonts w:hint="eastAsia"/>
        </w:rPr>
        <w:t>的意見No.</w:t>
      </w:r>
      <w:r>
        <w:t>2において、締約国は障害に関する法律にICT</w:t>
      </w:r>
      <w:r w:rsidR="00FB3CB7" w:rsidRPr="00F000F1">
        <w:rPr>
          <w:rStyle w:val="ac"/>
          <w:rFonts w:cs="Arial"/>
        </w:rPr>
        <w:footnoteReference w:id="134"/>
      </w:r>
      <w:r>
        <w:t>（情報および通信機器またはアプリケーションとその内容を含む</w:t>
      </w:r>
      <w:r w:rsidR="00427768">
        <w:rPr>
          <w:rFonts w:hint="eastAsia"/>
        </w:rPr>
        <w:t>包括</w:t>
      </w:r>
      <w:r>
        <w:t>用語）を含めることができない</w:t>
      </w:r>
      <w:r w:rsidR="00427768">
        <w:rPr>
          <w:rFonts w:hint="eastAsia"/>
        </w:rPr>
        <w:t>でいる</w:t>
      </w:r>
      <w:r>
        <w:t>ことが多いと強調した。この法律を見直して、ラジオ、テレビ、衛星、携帯電話、固定回線、コンピューター、ネットワークハードウェア、ソフトウェアなどの幅広いアクセス</w:t>
      </w:r>
      <w:r w:rsidR="00427768">
        <w:rPr>
          <w:rFonts w:hint="eastAsia"/>
        </w:rPr>
        <w:t>技術</w:t>
      </w:r>
      <w:r>
        <w:t>を含むICTを含める重要性を強調</w:t>
      </w:r>
      <w:r w:rsidR="003F6448">
        <w:t>した</w:t>
      </w:r>
      <w:r w:rsidR="00FB3CB7" w:rsidRPr="00F000F1">
        <w:rPr>
          <w:rStyle w:val="ac"/>
          <w:rFonts w:cs="Arial"/>
        </w:rPr>
        <w:footnoteReference w:id="135"/>
      </w:r>
      <w:r>
        <w:t>。たとえば、2014年以降、委員会は締約国に対し、ウェブコンテンツ</w:t>
      </w:r>
      <w:r w:rsidR="00427768">
        <w:rPr>
          <w:rFonts w:hint="eastAsia"/>
        </w:rPr>
        <w:t>・</w:t>
      </w:r>
      <w:r>
        <w:t>アクセシビリティ</w:t>
      </w:r>
      <w:r w:rsidR="00427768">
        <w:rPr>
          <w:rFonts w:hint="eastAsia"/>
        </w:rPr>
        <w:t>・</w:t>
      </w:r>
      <w:r>
        <w:t>ガイドラインの遵守を推奨して</w:t>
      </w:r>
      <w:r w:rsidR="003F6448">
        <w:t>いる</w:t>
      </w:r>
      <w:r w:rsidR="00FB3CB7" w:rsidRPr="00F000F1">
        <w:rPr>
          <w:rStyle w:val="ac"/>
          <w:rFonts w:cs="Arial"/>
        </w:rPr>
        <w:footnoteReference w:id="136"/>
      </w:r>
      <w:r>
        <w:t>。また、すべての</w:t>
      </w:r>
      <w:r>
        <w:rPr>
          <w:rFonts w:hint="eastAsia"/>
        </w:rPr>
        <w:t>情報とコミュニケーションは、点字、</w:t>
      </w:r>
      <w:r w:rsidR="001F09C4">
        <w:rPr>
          <w:rFonts w:hint="eastAsia"/>
        </w:rPr>
        <w:t>手話言語</w:t>
      </w:r>
      <w:r>
        <w:rPr>
          <w:rFonts w:hint="eastAsia"/>
        </w:rPr>
        <w:t>、</w:t>
      </w:r>
      <w:r w:rsidR="00427768">
        <w:rPr>
          <w:rFonts w:hint="eastAsia"/>
        </w:rPr>
        <w:t>字幕</w:t>
      </w:r>
      <w:r>
        <w:rPr>
          <w:rFonts w:hint="eastAsia"/>
        </w:rPr>
        <w:t>、</w:t>
      </w:r>
      <w:r w:rsidR="00427768">
        <w:rPr>
          <w:rFonts w:hint="eastAsia"/>
        </w:rPr>
        <w:t>わかりやすい版</w:t>
      </w:r>
      <w:r>
        <w:rPr>
          <w:rFonts w:hint="eastAsia"/>
        </w:rPr>
        <w:t>、</w:t>
      </w:r>
      <w:r w:rsidR="00352327">
        <w:rPr>
          <w:rFonts w:hint="eastAsia"/>
        </w:rPr>
        <w:t>補助</w:t>
      </w:r>
      <w:r>
        <w:rPr>
          <w:rFonts w:hint="eastAsia"/>
        </w:rPr>
        <w:t>的で代替的なコミュニケーション</w:t>
      </w:r>
      <w:r w:rsidR="00427768">
        <w:rPr>
          <w:rFonts w:hint="eastAsia"/>
        </w:rPr>
        <w:t>様式</w:t>
      </w:r>
      <w:r>
        <w:rPr>
          <w:rFonts w:hint="eastAsia"/>
        </w:rPr>
        <w:t>を含むアクセス可能な形式で提供されるべきであることを継続的に強調</w:t>
      </w:r>
      <w:r w:rsidR="003F6448">
        <w:rPr>
          <w:rFonts w:hint="eastAsia"/>
        </w:rPr>
        <w:t>した</w:t>
      </w:r>
      <w:r>
        <w:rPr>
          <w:rFonts w:hint="eastAsia"/>
        </w:rPr>
        <w:t>。</w:t>
      </w:r>
      <w:r>
        <w:t>2014年以来、委員会は、締約国に対し、文化</w:t>
      </w:r>
      <w:r w:rsidR="000F562F">
        <w:t>生活、レクリエーション、レジャー</w:t>
      </w:r>
      <w:r w:rsidR="000F562F">
        <w:rPr>
          <w:rFonts w:hint="eastAsia"/>
        </w:rPr>
        <w:t>および</w:t>
      </w:r>
      <w:r w:rsidR="000F562F">
        <w:t>スポーツ</w:t>
      </w:r>
      <w:r>
        <w:t>への参加に関する第30条に基づく勧告で、</w:t>
      </w:r>
      <w:r w:rsidR="00427768">
        <w:rPr>
          <w:rFonts w:hint="eastAsia"/>
        </w:rPr>
        <w:t>盲人</w:t>
      </w:r>
      <w:r>
        <w:t>、視覚</w:t>
      </w:r>
      <w:r w:rsidR="00274DCA">
        <w:t>障害のある人</w:t>
      </w:r>
      <w:r>
        <w:t>、またはその他の</w:t>
      </w:r>
      <w:r w:rsidR="00427768">
        <w:rPr>
          <w:rFonts w:hint="eastAsia"/>
        </w:rPr>
        <w:t>印刷物の</w:t>
      </w:r>
      <w:r w:rsidR="00D31577">
        <w:rPr>
          <w:rFonts w:hint="eastAsia"/>
        </w:rPr>
        <w:t>判読に</w:t>
      </w:r>
      <w:r w:rsidR="00274DCA">
        <w:t>障害のある人</w:t>
      </w:r>
      <w:r>
        <w:t>の出版物へのアクセスを促進するマラケシュ条約を批准し、実施するための適切な措置を講じることを一貫して</w:t>
      </w:r>
      <w:r w:rsidR="000F562F">
        <w:rPr>
          <w:rFonts w:hint="eastAsia"/>
        </w:rPr>
        <w:t>勧告</w:t>
      </w:r>
      <w:r w:rsidR="003F6448">
        <w:t>した</w:t>
      </w:r>
      <w:r w:rsidR="00FB3CB7" w:rsidRPr="00F000F1">
        <w:rPr>
          <w:rStyle w:val="ac"/>
          <w:rFonts w:cs="Arial"/>
        </w:rPr>
        <w:footnoteReference w:id="137"/>
      </w:r>
      <w:r>
        <w:t>。</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CRPD委員会の</w:t>
      </w:r>
      <w:r w:rsidR="000F562F">
        <w:rPr>
          <w:rFonts w:ascii="ＭＳ ゴシック" w:eastAsia="ＭＳ ゴシック" w:hAnsi="ＭＳ ゴシック" w:hint="eastAsia"/>
          <w:b/>
          <w:bCs/>
        </w:rPr>
        <w:t>活動への</w:t>
      </w:r>
      <w:r w:rsidRPr="00FF6309">
        <w:rPr>
          <w:rFonts w:ascii="ＭＳ ゴシック" w:eastAsia="ＭＳ ゴシック" w:hAnsi="ＭＳ ゴシック"/>
          <w:b/>
          <w:bCs/>
        </w:rPr>
        <w:t>アクセシビリティ</w:t>
      </w:r>
    </w:p>
    <w:p w:rsidR="00F87D84" w:rsidRDefault="00F87D84" w:rsidP="00AF1B71"/>
    <w:p w:rsidR="00AF1B71" w:rsidRDefault="00AF1B71" w:rsidP="00AF1B71">
      <w:r>
        <w:t>57.</w:t>
      </w:r>
      <w:r w:rsidR="005B4D8C">
        <w:t xml:space="preserve"> </w:t>
      </w:r>
      <w:r>
        <w:t>委員会は、</w:t>
      </w:r>
      <w:r w:rsidR="000F562F">
        <w:rPr>
          <w:rFonts w:hint="eastAsia"/>
        </w:rPr>
        <w:t>アビリティネット</w:t>
      </w:r>
      <w:r>
        <w:t>、マイクロソフト、およびミドルセックス大学の研究者の外部アクセシビリティチームに、委員会の会議へのアクセシビリティに関するレポート</w:t>
      </w:r>
      <w:r w:rsidR="000F562F">
        <w:rPr>
          <w:rFonts w:hint="eastAsia"/>
        </w:rPr>
        <w:t>の</w:t>
      </w:r>
      <w:r>
        <w:t>作成</w:t>
      </w:r>
      <w:r w:rsidR="000F562F">
        <w:rPr>
          <w:rFonts w:hint="eastAsia"/>
        </w:rPr>
        <w:t>を</w:t>
      </w:r>
      <w:r w:rsidR="000F562F">
        <w:t>委託</w:t>
      </w:r>
      <w:r w:rsidR="003F6448">
        <w:t>した</w:t>
      </w:r>
      <w:r>
        <w:t>（2012）。</w:t>
      </w:r>
    </w:p>
    <w:p w:rsidR="00F87D84" w:rsidRDefault="00F87D84" w:rsidP="00AF1B71"/>
    <w:p w:rsidR="00AF1B71" w:rsidRDefault="00AF1B71" w:rsidP="00AF1B71">
      <w:r>
        <w:t>58.</w:t>
      </w:r>
      <w:r w:rsidR="005B4D8C">
        <w:t xml:space="preserve"> </w:t>
      </w:r>
      <w:r>
        <w:t>委員会は、2012年の</w:t>
      </w:r>
      <w:r w:rsidR="000F562F">
        <w:rPr>
          <w:rFonts w:hint="eastAsia"/>
        </w:rPr>
        <w:t>活動</w:t>
      </w:r>
      <w:r>
        <w:t>方法</w:t>
      </w:r>
      <w:r w:rsidR="000F562F">
        <w:rPr>
          <w:rFonts w:hint="eastAsia"/>
        </w:rPr>
        <w:t>書</w:t>
      </w:r>
      <w:r>
        <w:t>にアクセシビリティを盛り込んだ。</w:t>
      </w:r>
      <w:r w:rsidR="000F562F">
        <w:rPr>
          <w:rFonts w:hint="eastAsia"/>
        </w:rPr>
        <w:t>そこでは</w:t>
      </w:r>
      <w:r w:rsidR="00352327">
        <w:rPr>
          <w:rFonts w:hint="eastAsia"/>
        </w:rPr>
        <w:t>、</w:t>
      </w:r>
      <w:r>
        <w:t>委員会はすべてのアクセシブルな形式で文書を配布すると述べている</w:t>
      </w:r>
      <w:r w:rsidR="00FB3CB7" w:rsidRPr="00222B08">
        <w:rPr>
          <w:rStyle w:val="ac"/>
          <w:rFonts w:cs="Arial"/>
        </w:rPr>
        <w:footnoteReference w:id="138"/>
      </w:r>
      <w:r>
        <w:t>。委員会の通常予算では、</w:t>
      </w:r>
      <w:r w:rsidR="001F09C4">
        <w:t>手話言語</w:t>
      </w:r>
      <w:r>
        <w:t>通訳、</w:t>
      </w:r>
      <w:r w:rsidR="000F562F">
        <w:rPr>
          <w:rFonts w:hint="eastAsia"/>
        </w:rPr>
        <w:t>字幕</w:t>
      </w:r>
      <w:r>
        <w:t>、および限られた範囲で点字を提供して</w:t>
      </w:r>
      <w:r w:rsidR="003F6448">
        <w:t>いる</w:t>
      </w:r>
      <w:r>
        <w:t>。</w:t>
      </w:r>
      <w:r w:rsidR="00733711">
        <w:rPr>
          <w:rFonts w:hint="eastAsia"/>
        </w:rPr>
        <w:t>平易な言葉版</w:t>
      </w:r>
      <w:r>
        <w:t>と</w:t>
      </w:r>
      <w:r w:rsidR="00733711">
        <w:rPr>
          <w:rFonts w:hint="eastAsia"/>
        </w:rPr>
        <w:t>わかりやすい版</w:t>
      </w:r>
      <w:r>
        <w:t>の文書は、国連総会によ</w:t>
      </w:r>
      <w:r w:rsidR="00733711">
        <w:rPr>
          <w:rFonts w:hint="eastAsia"/>
        </w:rPr>
        <w:t>る</w:t>
      </w:r>
      <w:r>
        <w:t>委員会の予算に含まれてい</w:t>
      </w:r>
      <w:r w:rsidR="00733711">
        <w:rPr>
          <w:rFonts w:hint="eastAsia"/>
        </w:rPr>
        <w:t>ない</w:t>
      </w:r>
      <w:r>
        <w:t>。2017年の終わりに、ジュネーブの国連事務所は</w:t>
      </w:r>
      <w:r w:rsidR="00733711">
        <w:rPr>
          <w:rFonts w:hint="eastAsia"/>
        </w:rPr>
        <w:t>試行事業</w:t>
      </w:r>
      <w:r>
        <w:t>を実施し、委員会の主要な文書の一部を平易な英語で作成</w:t>
      </w:r>
      <w:r w:rsidR="003F6448">
        <w:t>した</w:t>
      </w:r>
      <w:r w:rsidR="00FB3CB7">
        <w:rPr>
          <w:rStyle w:val="ac"/>
          <w:rFonts w:cs="Arial"/>
        </w:rPr>
        <w:footnoteReference w:id="139"/>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iii</w:t>
      </w:r>
      <w:r w:rsidR="00720EAA" w:rsidRPr="00FF6309">
        <w:rPr>
          <w:rFonts w:ascii="ＭＳ ゴシック" w:eastAsia="ＭＳ ゴシック" w:hAnsi="ＭＳ ゴシック"/>
          <w:b/>
          <w:bCs/>
        </w:rPr>
        <w:t>.</w:t>
      </w:r>
      <w:r w:rsidR="005B4D8C">
        <w:rPr>
          <w:rFonts w:ascii="ＭＳ ゴシック" w:eastAsia="ＭＳ ゴシック" w:hAnsi="ＭＳ ゴシック"/>
          <w:b/>
          <w:bCs/>
        </w:rPr>
        <w:t xml:space="preserve"> </w:t>
      </w:r>
      <w:r w:rsidR="00274DCA">
        <w:rPr>
          <w:rFonts w:ascii="ＭＳ ゴシック" w:eastAsia="ＭＳ ゴシック" w:hAnsi="ＭＳ ゴシック"/>
          <w:b/>
          <w:bCs/>
        </w:rPr>
        <w:t>障害</w:t>
      </w:r>
      <w:r w:rsidR="00352327">
        <w:rPr>
          <w:rFonts w:ascii="ＭＳ ゴシック" w:eastAsia="ＭＳ ゴシック" w:hAnsi="ＭＳ ゴシック" w:hint="eastAsia"/>
          <w:b/>
          <w:bCs/>
        </w:rPr>
        <w:t>者</w:t>
      </w:r>
      <w:r w:rsidRPr="00FF6309">
        <w:rPr>
          <w:rFonts w:ascii="ＭＳ ゴシック" w:eastAsia="ＭＳ ゴシック" w:hAnsi="ＭＳ ゴシック"/>
          <w:b/>
          <w:bCs/>
        </w:rPr>
        <w:t>の多様性</w:t>
      </w:r>
    </w:p>
    <w:p w:rsidR="00F87D84" w:rsidRDefault="00F87D84" w:rsidP="00AF1B71"/>
    <w:p w:rsidR="00AF1B71" w:rsidRDefault="00AF1B71" w:rsidP="00AF1B71">
      <w:r>
        <w:t>59.</w:t>
      </w:r>
      <w:r w:rsidR="005B4D8C">
        <w:t xml:space="preserve"> </w:t>
      </w:r>
      <w:r>
        <w:t>条約の前文に沿って、締約国は</w:t>
      </w:r>
      <w:r w:rsidR="00274DCA">
        <w:t>障害のある人</w:t>
      </w:r>
      <w:r>
        <w:t>の多様性を認識すべきである</w:t>
      </w:r>
      <w:r w:rsidR="002C1383" w:rsidRPr="00F000F1">
        <w:rPr>
          <w:rStyle w:val="ac"/>
          <w:rFonts w:cs="Arial"/>
          <w:bCs/>
          <w:iCs/>
        </w:rPr>
        <w:footnoteReference w:id="140"/>
      </w:r>
      <w:r>
        <w:t>。委員会は、あらゆる種類の</w:t>
      </w:r>
      <w:r w:rsidR="00733711">
        <w:rPr>
          <w:rFonts w:hint="eastAsia"/>
        </w:rPr>
        <w:t>機能</w:t>
      </w:r>
      <w:r>
        <w:t>障害</w:t>
      </w:r>
      <w:r w:rsidR="00733711">
        <w:rPr>
          <w:rFonts w:hint="eastAsia"/>
        </w:rPr>
        <w:t>のある</w:t>
      </w:r>
      <w:r>
        <w:t>さまざまなグループの人々が直面する多くの障壁</w:t>
      </w:r>
      <w:r w:rsidR="00733711">
        <w:rPr>
          <w:rFonts w:hint="eastAsia"/>
        </w:rPr>
        <w:t>を取り上げつつ、</w:t>
      </w:r>
      <w:r>
        <w:t>この多様性を認識して</w:t>
      </w:r>
      <w:r w:rsidR="003F6448">
        <w:t>いる</w:t>
      </w:r>
      <w:r>
        <w:t>。</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あらゆる種類の</w:t>
      </w:r>
      <w:r w:rsidR="00733711">
        <w:rPr>
          <w:rFonts w:ascii="ＭＳ ゴシック" w:eastAsia="ＭＳ ゴシック" w:hAnsi="ＭＳ ゴシック" w:hint="eastAsia"/>
          <w:b/>
          <w:bCs/>
        </w:rPr>
        <w:t>機能</w:t>
      </w:r>
      <w:r w:rsidRPr="00FF6309">
        <w:rPr>
          <w:rFonts w:ascii="ＭＳ ゴシック" w:eastAsia="ＭＳ ゴシック" w:hAnsi="ＭＳ ゴシック" w:hint="eastAsia"/>
          <w:b/>
          <w:bCs/>
        </w:rPr>
        <w:t>障害</w:t>
      </w:r>
      <w:r w:rsidR="00733711">
        <w:rPr>
          <w:rFonts w:ascii="ＭＳ ゴシック" w:eastAsia="ＭＳ ゴシック" w:hAnsi="ＭＳ ゴシック" w:hint="eastAsia"/>
          <w:b/>
          <w:bCs/>
        </w:rPr>
        <w:t>のある</w:t>
      </w:r>
      <w:r w:rsidRPr="00FF6309">
        <w:rPr>
          <w:rFonts w:ascii="ＭＳ ゴシック" w:eastAsia="ＭＳ ゴシック" w:hAnsi="ＭＳ ゴシック" w:hint="eastAsia"/>
          <w:b/>
          <w:bCs/>
        </w:rPr>
        <w:t>人</w:t>
      </w:r>
    </w:p>
    <w:p w:rsidR="00F87D84" w:rsidRDefault="00F87D84" w:rsidP="00AF1B71"/>
    <w:p w:rsidR="00AF1B71" w:rsidRDefault="00AF1B71" w:rsidP="00AF1B71">
      <w:r w:rsidRPr="001F09C4">
        <w:t>60.</w:t>
      </w:r>
      <w:r w:rsidR="005B4D8C" w:rsidRPr="001F09C4">
        <w:t xml:space="preserve"> </w:t>
      </w:r>
      <w:r w:rsidRPr="001F09C4">
        <w:t>障害の新しい人権モデ</w:t>
      </w:r>
      <w:r>
        <w:t>ルは、時代遅れの</w:t>
      </w:r>
      <w:r w:rsidR="001F09C4">
        <w:rPr>
          <w:rFonts w:hint="eastAsia"/>
        </w:rPr>
        <w:t>医学</w:t>
      </w:r>
      <w:r>
        <w:t>モデル</w:t>
      </w:r>
      <w:r w:rsidR="001F09C4">
        <w:rPr>
          <w:rFonts w:hint="eastAsia"/>
        </w:rPr>
        <w:t>とは異なり、</w:t>
      </w:r>
      <w:r>
        <w:t>障害のある人を</w:t>
      </w:r>
      <w:r w:rsidR="001F09C4">
        <w:rPr>
          <w:rFonts w:hint="eastAsia"/>
        </w:rPr>
        <w:t>彼らの機能</w:t>
      </w:r>
      <w:r>
        <w:t>障害に</w:t>
      </w:r>
      <w:r w:rsidR="001F09C4">
        <w:rPr>
          <w:rFonts w:hint="eastAsia"/>
        </w:rPr>
        <w:t>還元し</w:t>
      </w:r>
      <w:r>
        <w:t>ない障害の新しい理解に基づいている。ただしこれは、</w:t>
      </w:r>
      <w:r w:rsidR="001F09C4">
        <w:rPr>
          <w:rFonts w:hint="eastAsia"/>
        </w:rPr>
        <w:t>異なった機能</w:t>
      </w:r>
      <w:r>
        <w:t>障害</w:t>
      </w:r>
      <w:r w:rsidR="001F09C4">
        <w:rPr>
          <w:rFonts w:hint="eastAsia"/>
        </w:rPr>
        <w:t>のある</w:t>
      </w:r>
      <w:r>
        <w:t>人が社会で</w:t>
      </w:r>
      <w:r w:rsidR="001F09C4">
        <w:rPr>
          <w:rFonts w:hint="eastAsia"/>
        </w:rPr>
        <w:t>異なった</w:t>
      </w:r>
      <w:r>
        <w:t>障壁に直面する可能性があることを</w:t>
      </w:r>
      <w:r w:rsidR="001F09C4">
        <w:rPr>
          <w:rFonts w:hint="eastAsia"/>
        </w:rPr>
        <w:t>否定するもの</w:t>
      </w:r>
      <w:r>
        <w:t>では</w:t>
      </w:r>
      <w:r w:rsidR="001F09C4">
        <w:rPr>
          <w:rFonts w:hint="eastAsia"/>
        </w:rPr>
        <w:t>ない</w:t>
      </w:r>
      <w:r>
        <w:t>。その文脈</w:t>
      </w:r>
      <w:r w:rsidR="009921DB">
        <w:rPr>
          <w:rFonts w:hint="eastAsia"/>
        </w:rPr>
        <w:t>で</w:t>
      </w:r>
      <w:r>
        <w:t>委員会は、障害の分類は人権に基づ</w:t>
      </w:r>
      <w:r w:rsidR="009921DB">
        <w:rPr>
          <w:rFonts w:hint="eastAsia"/>
        </w:rPr>
        <w:t>き</w:t>
      </w:r>
      <w:r>
        <w:t>、特定の障害者グループを排除しない</w:t>
      </w:r>
      <w:r w:rsidR="009921DB">
        <w:rPr>
          <w:rFonts w:hint="eastAsia"/>
        </w:rPr>
        <w:t>ものでなければならないと</w:t>
      </w:r>
      <w:r>
        <w:t>強調した</w:t>
      </w:r>
      <w:r w:rsidR="002C1383" w:rsidRPr="00F000F1">
        <w:rPr>
          <w:rStyle w:val="ac"/>
          <w:rFonts w:cs="Arial"/>
        </w:rPr>
        <w:footnoteReference w:id="141"/>
      </w:r>
      <w:r>
        <w:t>。</w:t>
      </w:r>
    </w:p>
    <w:p w:rsidR="00F87D84" w:rsidRDefault="00F87D84" w:rsidP="00AF1B71"/>
    <w:p w:rsidR="00AF1B71" w:rsidRDefault="00AF1B71" w:rsidP="00AF1B71">
      <w:r>
        <w:t>61.</w:t>
      </w:r>
      <w:r w:rsidR="005B4D8C">
        <w:t xml:space="preserve"> </w:t>
      </w:r>
      <w:r>
        <w:t>委員会は、</w:t>
      </w:r>
      <w:r w:rsidR="009921DB">
        <w:rPr>
          <w:rFonts w:hint="eastAsia"/>
        </w:rPr>
        <w:t>活動</w:t>
      </w:r>
      <w:r>
        <w:t>の開始以来、</w:t>
      </w:r>
      <w:r w:rsidR="009921DB">
        <w:rPr>
          <w:rFonts w:hint="eastAsia"/>
        </w:rPr>
        <w:t>機能障害に従って、</w:t>
      </w:r>
      <w:r>
        <w:t>主に</w:t>
      </w:r>
      <w:r w:rsidR="009921DB">
        <w:t>4つのグループに取り組ん</w:t>
      </w:r>
      <w:r w:rsidR="009921DB">
        <w:rPr>
          <w:rFonts w:hint="eastAsia"/>
        </w:rPr>
        <w:t>できた</w:t>
      </w:r>
      <w:r w:rsidR="009921DB">
        <w:t>。</w:t>
      </w:r>
      <w:r w:rsidR="009921DB">
        <w:rPr>
          <w:rFonts w:hint="eastAsia"/>
        </w:rPr>
        <w:t>それは、</w:t>
      </w:r>
      <w:r>
        <w:t>身体障害/運動</w:t>
      </w:r>
      <w:r w:rsidR="009921DB">
        <w:rPr>
          <w:rFonts w:hint="eastAsia"/>
        </w:rPr>
        <w:t>機能</w:t>
      </w:r>
      <w:r>
        <w:t>障害</w:t>
      </w:r>
      <w:r w:rsidR="009921DB">
        <w:rPr>
          <w:rFonts w:hint="eastAsia"/>
        </w:rPr>
        <w:t>のある人</w:t>
      </w:r>
      <w:r>
        <w:t>、知的障害のある人、心理社会的障害のある人、</w:t>
      </w:r>
      <w:r w:rsidR="009921DB">
        <w:rPr>
          <w:rFonts w:hint="eastAsia"/>
        </w:rPr>
        <w:t>および</w:t>
      </w:r>
      <w:r>
        <w:t>聴覚</w:t>
      </w:r>
      <w:r w:rsidR="009921DB">
        <w:rPr>
          <w:rFonts w:hint="eastAsia"/>
        </w:rPr>
        <w:t>機能</w:t>
      </w:r>
      <w:r>
        <w:t>障害のある人</w:t>
      </w:r>
      <w:r w:rsidR="009921DB">
        <w:rPr>
          <w:rFonts w:hint="eastAsia"/>
        </w:rPr>
        <w:t>（ろう者および難聴者）、</w:t>
      </w:r>
      <w:r w:rsidR="009921DB">
        <w:t>視覚</w:t>
      </w:r>
      <w:r w:rsidR="009921DB">
        <w:rPr>
          <w:rFonts w:hint="eastAsia"/>
        </w:rPr>
        <w:t>機能</w:t>
      </w:r>
      <w:r w:rsidR="009921DB">
        <w:t>障害のある人、および</w:t>
      </w:r>
      <w:r w:rsidR="009921DB">
        <w:rPr>
          <w:rFonts w:hint="eastAsia"/>
        </w:rPr>
        <w:t>より</w:t>
      </w:r>
      <w:r w:rsidR="009921DB">
        <w:t>散発的に盲</w:t>
      </w:r>
      <w:r w:rsidR="009921DB">
        <w:rPr>
          <w:rFonts w:hint="eastAsia"/>
        </w:rPr>
        <w:t>人</w:t>
      </w:r>
      <w:r w:rsidR="002C1383" w:rsidRPr="00F000F1">
        <w:rPr>
          <w:rStyle w:val="ac"/>
          <w:rFonts w:cs="Arial"/>
        </w:rPr>
        <w:footnoteReference w:id="142"/>
      </w:r>
      <w:r w:rsidR="009921DB">
        <w:t>または</w:t>
      </w:r>
      <w:r w:rsidR="00AC3C31">
        <w:rPr>
          <w:rFonts w:hint="eastAsia"/>
        </w:rPr>
        <w:t>盲ろう</w:t>
      </w:r>
      <w:r>
        <w:t>を含む感覚</w:t>
      </w:r>
      <w:r w:rsidR="009921DB">
        <w:rPr>
          <w:rFonts w:hint="eastAsia"/>
        </w:rPr>
        <w:t>機能</w:t>
      </w:r>
      <w:r>
        <w:t>障害のある人</w:t>
      </w:r>
      <w:r w:rsidR="002C1383" w:rsidRPr="00F000F1">
        <w:rPr>
          <w:rStyle w:val="ac"/>
          <w:rFonts w:cs="Arial"/>
        </w:rPr>
        <w:footnoteReference w:id="143"/>
      </w:r>
      <w:r w:rsidR="00AC3C31">
        <w:rPr>
          <w:rFonts w:hint="eastAsia"/>
        </w:rPr>
        <w:t>である。</w:t>
      </w:r>
      <w:r>
        <w:t>これらのグループの多様性は、委員会が受け取ったさまざまな</w:t>
      </w:r>
      <w:r w:rsidR="00AC3C31">
        <w:rPr>
          <w:rFonts w:hint="eastAsia"/>
        </w:rPr>
        <w:t>通報</w:t>
      </w:r>
      <w:r>
        <w:t>にも表れて</w:t>
      </w:r>
      <w:r w:rsidR="003F6448">
        <w:t>いる</w:t>
      </w:r>
      <w:r>
        <w:t>。委員会が採択した</w:t>
      </w:r>
      <w:r w:rsidR="00AC3C31">
        <w:rPr>
          <w:rFonts w:hint="eastAsia"/>
        </w:rPr>
        <w:t>通報</w:t>
      </w:r>
      <w:r>
        <w:t>に関する決定のうち、2例は聴覚</w:t>
      </w:r>
      <w:r w:rsidR="00AC3C31">
        <w:rPr>
          <w:rFonts w:hint="eastAsia"/>
        </w:rPr>
        <w:t>機能</w:t>
      </w:r>
      <w:r>
        <w:t>障害のある人</w:t>
      </w:r>
      <w:r w:rsidR="002C1383" w:rsidRPr="00F000F1">
        <w:rPr>
          <w:rStyle w:val="ac"/>
          <w:rFonts w:eastAsia="Times New Roman" w:cs="Arial"/>
        </w:rPr>
        <w:footnoteReference w:id="144"/>
      </w:r>
      <w:r>
        <w:t>、3例は視覚</w:t>
      </w:r>
      <w:r w:rsidR="00AC3C31">
        <w:rPr>
          <w:rFonts w:hint="eastAsia"/>
        </w:rPr>
        <w:t>機能</w:t>
      </w:r>
      <w:r>
        <w:t>障害のある人</w:t>
      </w:r>
      <w:r w:rsidR="002C1383" w:rsidRPr="00F000F1">
        <w:rPr>
          <w:rStyle w:val="ac"/>
          <w:rFonts w:eastAsia="Times New Roman" w:cs="Arial"/>
        </w:rPr>
        <w:footnoteReference w:id="145"/>
      </w:r>
      <w:r>
        <w:t>、3例は知的障害および/または心理社会的障害のある人</w:t>
      </w:r>
      <w:r w:rsidR="002C1383" w:rsidRPr="00F000F1">
        <w:rPr>
          <w:rStyle w:val="ac"/>
          <w:rFonts w:eastAsia="Times New Roman" w:cs="Arial"/>
        </w:rPr>
        <w:footnoteReference w:id="146"/>
      </w:r>
      <w:r>
        <w:t>、4例</w:t>
      </w:r>
      <w:r>
        <w:rPr>
          <w:rFonts w:hint="eastAsia"/>
        </w:rPr>
        <w:t>は運動</w:t>
      </w:r>
      <w:r w:rsidR="00AC3C31">
        <w:rPr>
          <w:rFonts w:hint="eastAsia"/>
        </w:rPr>
        <w:t>機能</w:t>
      </w:r>
      <w:r>
        <w:rPr>
          <w:rFonts w:hint="eastAsia"/>
        </w:rPr>
        <w:t>障害のある人</w:t>
      </w:r>
      <w:r w:rsidR="002C1383" w:rsidRPr="00F000F1">
        <w:rPr>
          <w:rStyle w:val="ac"/>
          <w:rFonts w:eastAsia="Times New Roman" w:cs="Arial"/>
        </w:rPr>
        <w:footnoteReference w:id="147"/>
      </w:r>
      <w:r>
        <w:rPr>
          <w:rFonts w:hint="eastAsia"/>
        </w:rPr>
        <w:t>、</w:t>
      </w:r>
      <w:r>
        <w:t>1例</w:t>
      </w:r>
      <w:r w:rsidR="00AC3C31">
        <w:rPr>
          <w:rFonts w:hint="eastAsia"/>
        </w:rPr>
        <w:t>はアルビニズムの</w:t>
      </w:r>
      <w:r>
        <w:t>人</w:t>
      </w:r>
      <w:r w:rsidR="002C1383" w:rsidRPr="00F000F1">
        <w:rPr>
          <w:rStyle w:val="ac"/>
          <w:rFonts w:eastAsia="Times New Roman" w:cs="Arial"/>
        </w:rPr>
        <w:footnoteReference w:id="148"/>
      </w:r>
      <w:r>
        <w:t>、もう1</w:t>
      </w:r>
      <w:r w:rsidR="00AC3C31">
        <w:rPr>
          <w:rFonts w:hint="eastAsia"/>
        </w:rPr>
        <w:t>例</w:t>
      </w:r>
      <w:r>
        <w:t>は複数の</w:t>
      </w:r>
      <w:r w:rsidR="00AC3C31">
        <w:rPr>
          <w:rFonts w:hint="eastAsia"/>
        </w:rPr>
        <w:t>機能</w:t>
      </w:r>
      <w:r>
        <w:t>障害</w:t>
      </w:r>
      <w:r w:rsidR="00AC3C31">
        <w:rPr>
          <w:rFonts w:hint="eastAsia"/>
        </w:rPr>
        <w:t>のある</w:t>
      </w:r>
      <w:r>
        <w:t>人</w:t>
      </w:r>
      <w:r w:rsidR="002C1383" w:rsidRPr="00F000F1">
        <w:rPr>
          <w:rStyle w:val="ac"/>
          <w:rFonts w:eastAsia="Times New Roman" w:cs="Arial"/>
        </w:rPr>
        <w:footnoteReference w:id="149"/>
      </w:r>
      <w:r>
        <w:t>、最後に</w:t>
      </w:r>
      <w:r w:rsidR="00AC3C31">
        <w:rPr>
          <w:rFonts w:hint="eastAsia"/>
        </w:rPr>
        <w:t>もう１例は</w:t>
      </w:r>
      <w:r>
        <w:t>変性</w:t>
      </w:r>
      <w:r w:rsidR="00AC3C31">
        <w:rPr>
          <w:rFonts w:hint="eastAsia"/>
        </w:rPr>
        <w:t>（退行性）</w:t>
      </w:r>
      <w:r>
        <w:t>疾患の</w:t>
      </w:r>
      <w:r w:rsidR="00AC3C31">
        <w:rPr>
          <w:rFonts w:hint="eastAsia"/>
        </w:rPr>
        <w:t>ある</w:t>
      </w:r>
      <w:r>
        <w:t>人</w:t>
      </w:r>
      <w:r w:rsidR="002C1383" w:rsidRPr="00F000F1">
        <w:rPr>
          <w:rStyle w:val="ac"/>
          <w:rFonts w:eastAsia="Times New Roman" w:cs="Arial"/>
        </w:rPr>
        <w:footnoteReference w:id="150"/>
      </w:r>
      <w:r>
        <w:t>に関するもの</w:t>
      </w:r>
      <w:r w:rsidR="003F6448">
        <w:t>である</w:t>
      </w:r>
      <w:r>
        <w:t>。</w:t>
      </w:r>
    </w:p>
    <w:p w:rsidR="00F87D84" w:rsidRDefault="00F87D84" w:rsidP="00AF1B71"/>
    <w:p w:rsidR="00AF1B71" w:rsidRDefault="00AF1B71" w:rsidP="00AF1B71">
      <w:r>
        <w:t>62.</w:t>
      </w:r>
      <w:r w:rsidR="00744D33">
        <w:t xml:space="preserve"> </w:t>
      </w:r>
      <w:r>
        <w:t>委員会は</w:t>
      </w:r>
      <w:r w:rsidR="00F75219">
        <w:rPr>
          <w:rFonts w:hint="eastAsia"/>
        </w:rPr>
        <w:t>この間</w:t>
      </w:r>
      <w:r>
        <w:t>、</w:t>
      </w:r>
      <w:r w:rsidR="00B61E9E">
        <w:t>一般的意見</w:t>
      </w:r>
      <w:r>
        <w:t>または締約国報告の定期的な</w:t>
      </w:r>
      <w:r w:rsidR="00F75219">
        <w:rPr>
          <w:rFonts w:hint="eastAsia"/>
        </w:rPr>
        <w:t>検討中に</w:t>
      </w:r>
      <w:r>
        <w:t>他のグループにも言及した。教育</w:t>
      </w:r>
      <w:r w:rsidR="00F75219">
        <w:rPr>
          <w:rFonts w:hint="eastAsia"/>
        </w:rPr>
        <w:t>の</w:t>
      </w:r>
      <w:r>
        <w:t>権利に関する一般的意見No.4</w:t>
      </w:r>
      <w:r w:rsidR="002C1383">
        <w:rPr>
          <w:rStyle w:val="ac"/>
          <w:rFonts w:cs="Arial"/>
        </w:rPr>
        <w:footnoteReference w:id="151"/>
      </w:r>
      <w:r w:rsidR="00F75219">
        <w:rPr>
          <w:rFonts w:hint="eastAsia"/>
        </w:rPr>
        <w:t>と</w:t>
      </w:r>
      <w:r w:rsidR="002C1383">
        <w:t>2014年の</w:t>
      </w:r>
      <w:r w:rsidR="00F75219">
        <w:rPr>
          <w:rFonts w:hint="eastAsia"/>
        </w:rPr>
        <w:t>総括所見</w:t>
      </w:r>
      <w:r w:rsidR="002C1383" w:rsidRPr="00F000F1">
        <w:rPr>
          <w:rStyle w:val="ac"/>
          <w:rFonts w:cs="Arial"/>
        </w:rPr>
        <w:footnoteReference w:id="152"/>
      </w:r>
      <w:r>
        <w:t>で自閉症の人に初めて言及し、障害</w:t>
      </w:r>
      <w:r w:rsidR="00F75219">
        <w:rPr>
          <w:rFonts w:hint="eastAsia"/>
        </w:rPr>
        <w:t>のある</w:t>
      </w:r>
      <w:r>
        <w:t>女性に関する一般的意見No.3</w:t>
      </w:r>
      <w:r w:rsidR="002C1383">
        <w:rPr>
          <w:rStyle w:val="ac"/>
          <w:rFonts w:cs="Arial"/>
        </w:rPr>
        <w:footnoteReference w:id="153"/>
      </w:r>
      <w:r>
        <w:t>と</w:t>
      </w:r>
      <w:r w:rsidR="002C1383">
        <w:t>2016</w:t>
      </w:r>
      <w:r w:rsidR="002C1383">
        <w:rPr>
          <w:rFonts w:hint="eastAsia"/>
        </w:rPr>
        <w:t>年の</w:t>
      </w:r>
      <w:r w:rsidR="00F75219">
        <w:rPr>
          <w:rFonts w:hint="eastAsia"/>
        </w:rPr>
        <w:t>総括所見</w:t>
      </w:r>
      <w:r w:rsidR="002C1383" w:rsidRPr="00F000F1">
        <w:rPr>
          <w:rStyle w:val="ac"/>
          <w:rFonts w:cs="Arial"/>
        </w:rPr>
        <w:footnoteReference w:id="154"/>
      </w:r>
      <w:r>
        <w:t>で</w:t>
      </w:r>
      <w:r w:rsidR="00F75219">
        <w:rPr>
          <w:rFonts w:hint="eastAsia"/>
        </w:rPr>
        <w:t>アルビニズム</w:t>
      </w:r>
      <w:r>
        <w:t>の人に言及した。</w:t>
      </w:r>
      <w:r w:rsidR="00F75219">
        <w:rPr>
          <w:rFonts w:hint="eastAsia"/>
        </w:rPr>
        <w:t>また</w:t>
      </w:r>
      <w:r>
        <w:t>時折「複雑な身体障害」</w:t>
      </w:r>
      <w:r w:rsidR="002C1383" w:rsidRPr="00F000F1">
        <w:rPr>
          <w:rStyle w:val="ac"/>
          <w:rFonts w:cs="Arial"/>
        </w:rPr>
        <w:footnoteReference w:id="155"/>
      </w:r>
      <w:r>
        <w:t>、認知</w:t>
      </w:r>
      <w:r w:rsidR="00F75219">
        <w:rPr>
          <w:rFonts w:hint="eastAsia"/>
        </w:rPr>
        <w:t>機能</w:t>
      </w:r>
      <w:r>
        <w:t>障害</w:t>
      </w:r>
      <w:r w:rsidR="002C1383" w:rsidRPr="00F000F1">
        <w:rPr>
          <w:rStyle w:val="ac"/>
          <w:rFonts w:cs="Arial"/>
        </w:rPr>
        <w:footnoteReference w:id="156"/>
      </w:r>
      <w:r>
        <w:t>、運動</w:t>
      </w:r>
      <w:r w:rsidR="00F75219">
        <w:rPr>
          <w:rFonts w:hint="eastAsia"/>
        </w:rPr>
        <w:t>機能</w:t>
      </w:r>
      <w:r>
        <w:t>障害</w:t>
      </w:r>
      <w:r w:rsidR="002C1383" w:rsidRPr="00F000F1">
        <w:rPr>
          <w:rStyle w:val="ac"/>
          <w:rFonts w:cs="Arial"/>
        </w:rPr>
        <w:footnoteReference w:id="157"/>
      </w:r>
      <w:r>
        <w:t>、複数の形態の障害</w:t>
      </w:r>
      <w:r w:rsidR="002C1383" w:rsidRPr="00F000F1">
        <w:rPr>
          <w:rStyle w:val="ac"/>
          <w:rFonts w:cs="Arial"/>
        </w:rPr>
        <w:footnoteReference w:id="158"/>
      </w:r>
      <w:r>
        <w:t>、神経学的および認知状態</w:t>
      </w:r>
      <w:r w:rsidR="002C1383" w:rsidRPr="00F000F1">
        <w:rPr>
          <w:rStyle w:val="ac"/>
          <w:rFonts w:cs="Arial"/>
        </w:rPr>
        <w:footnoteReference w:id="159"/>
      </w:r>
      <w:r>
        <w:t>、ハンセン病の人々</w:t>
      </w:r>
      <w:r w:rsidR="002C1383" w:rsidRPr="00F000F1">
        <w:rPr>
          <w:rStyle w:val="ac"/>
          <w:rFonts w:cs="Arial"/>
        </w:rPr>
        <w:footnoteReference w:id="160"/>
      </w:r>
      <w:r>
        <w:t>、およびアルツハイマー、認知症および多発性硬化症を含む神経変性状態の人々</w:t>
      </w:r>
      <w:r w:rsidR="002C1383" w:rsidRPr="00F000F1">
        <w:rPr>
          <w:rStyle w:val="ac"/>
          <w:rFonts w:cs="Arial"/>
        </w:rPr>
        <w:footnoteReference w:id="161"/>
      </w:r>
      <w:r>
        <w:t>について言及</w:t>
      </w:r>
      <w:r w:rsidR="003F6448">
        <w:t>した</w:t>
      </w:r>
      <w:r>
        <w:t>。</w:t>
      </w:r>
      <w:r w:rsidR="002C1383">
        <w:rPr>
          <w:rFonts w:hint="eastAsia"/>
        </w:rPr>
        <w:t xml:space="preserve"> </w:t>
      </w:r>
    </w:p>
    <w:p w:rsidR="00F87D84" w:rsidRDefault="00F87D84"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hint="eastAsia"/>
          <w:b/>
          <w:bCs/>
        </w:rPr>
        <w:t>交差性：</w:t>
      </w:r>
      <w:r w:rsidR="00274DCA">
        <w:rPr>
          <w:rFonts w:ascii="ＭＳ ゴシック" w:eastAsia="ＭＳ ゴシック" w:hAnsi="ＭＳ ゴシック" w:hint="eastAsia"/>
          <w:b/>
          <w:bCs/>
        </w:rPr>
        <w:t>障害のある人</w:t>
      </w:r>
      <w:r w:rsidRPr="00FF6309">
        <w:rPr>
          <w:rFonts w:ascii="ＭＳ ゴシック" w:eastAsia="ＭＳ ゴシック" w:hAnsi="ＭＳ ゴシック" w:hint="eastAsia"/>
          <w:b/>
          <w:bCs/>
        </w:rPr>
        <w:t>のさまざまなグループ</w:t>
      </w:r>
    </w:p>
    <w:p w:rsidR="00F87D84" w:rsidRDefault="00F87D84" w:rsidP="00AF1B71"/>
    <w:p w:rsidR="002620FB" w:rsidRDefault="00AF1B71" w:rsidP="00AF1B71">
      <w:r>
        <w:t>63.</w:t>
      </w:r>
      <w:r w:rsidR="00744D33">
        <w:t xml:space="preserve"> </w:t>
      </w:r>
      <w:r>
        <w:t>障害はアイデンティティのいくつかの層の1つであるため</w:t>
      </w:r>
      <w:r w:rsidR="00FB1F6B" w:rsidRPr="00F000F1">
        <w:rPr>
          <w:rStyle w:val="ac"/>
          <w:rFonts w:cs="Arial"/>
          <w:bCs/>
          <w:iCs/>
        </w:rPr>
        <w:footnoteReference w:id="162"/>
      </w:r>
      <w:r>
        <w:t>、交差する多様な形態の差別に対処するために、障害</w:t>
      </w:r>
      <w:r w:rsidR="002620FB">
        <w:rPr>
          <w:rFonts w:hint="eastAsia"/>
        </w:rPr>
        <w:t>のある</w:t>
      </w:r>
      <w:r>
        <w:t>人々のさまざまなグループを認識することも重要</w:t>
      </w:r>
      <w:r w:rsidR="003F6448">
        <w:t>である</w:t>
      </w:r>
      <w:r>
        <w:t>。条約の前文では、「</w:t>
      </w:r>
      <w:r w:rsidR="002620FB" w:rsidRPr="002620FB">
        <w:rPr>
          <w:rFonts w:hint="eastAsia"/>
        </w:rPr>
        <w:t>人種、皮膚の色、性、言語、宗教、政治的意見その他の意見、国民的な、種族的な、先住民族としての若しくは社会的な出身、財産、出生、年齢又は他の地位に基づく複合的又は加重的な形態の差別を受けている</w:t>
      </w:r>
      <w:r w:rsidR="00274DCA">
        <w:rPr>
          <w:rFonts w:hint="eastAsia"/>
        </w:rPr>
        <w:t>障害のある人</w:t>
      </w:r>
      <w:r w:rsidR="002620FB" w:rsidRPr="002620FB">
        <w:rPr>
          <w:rFonts w:hint="eastAsia"/>
        </w:rPr>
        <w:t>が直面する困難な状況</w:t>
      </w:r>
      <w:r>
        <w:t>」</w:t>
      </w:r>
      <w:r w:rsidR="002620FB">
        <w:rPr>
          <w:rFonts w:hint="eastAsia"/>
        </w:rPr>
        <w:t>としているが、委員会は数年かけて、</w:t>
      </w:r>
      <w:r w:rsidR="002620FB">
        <w:t>「他の</w:t>
      </w:r>
      <w:r w:rsidR="002620FB">
        <w:rPr>
          <w:rFonts w:hint="eastAsia"/>
        </w:rPr>
        <w:t>地位</w:t>
      </w:r>
      <w:r w:rsidR="002620FB">
        <w:t>」</w:t>
      </w:r>
      <w:r w:rsidR="002620FB">
        <w:rPr>
          <w:rFonts w:hint="eastAsia"/>
        </w:rPr>
        <w:t>に含まれる</w:t>
      </w:r>
      <w:r w:rsidR="00680524">
        <w:rPr>
          <w:rFonts w:hint="eastAsia"/>
        </w:rPr>
        <w:t>と理解される新たな理由を追加し、あるいは</w:t>
      </w:r>
      <w:r w:rsidR="00680524">
        <w:t>一般的意見No.</w:t>
      </w:r>
      <w:r w:rsidR="00680524">
        <w:rPr>
          <w:rFonts w:hint="eastAsia"/>
        </w:rPr>
        <w:t>6で「アイデンティティの他の層」として言及した</w:t>
      </w:r>
      <w:r w:rsidR="00FB1F6B" w:rsidRPr="00F000F1">
        <w:rPr>
          <w:rStyle w:val="ac"/>
          <w:rFonts w:cs="Arial"/>
          <w:bCs/>
          <w:iCs/>
        </w:rPr>
        <w:footnoteReference w:id="163"/>
      </w:r>
      <w:r w:rsidR="00680524">
        <w:rPr>
          <w:rFonts w:hint="eastAsia"/>
        </w:rPr>
        <w:t>。</w:t>
      </w:r>
    </w:p>
    <w:p w:rsidR="002620FB" w:rsidRDefault="002620FB" w:rsidP="00AF1B71"/>
    <w:p w:rsidR="00AF1B71" w:rsidRDefault="00AF1B71" w:rsidP="00AF1B71">
      <w:r>
        <w:t>64.</w:t>
      </w:r>
      <w:r w:rsidR="00744D33">
        <w:t xml:space="preserve"> </w:t>
      </w:r>
      <w:r>
        <w:t>すなわち、委員会は以下に言及した。</w:t>
      </w:r>
      <w:r w:rsidR="00680524">
        <w:rPr>
          <w:rFonts w:hint="eastAsia"/>
        </w:rPr>
        <w:t>女性</w:t>
      </w:r>
      <w:r w:rsidR="00FB1F6B" w:rsidRPr="00F000F1">
        <w:rPr>
          <w:rStyle w:val="ac"/>
          <w:rFonts w:cs="Arial"/>
          <w:bCs/>
          <w:iCs/>
        </w:rPr>
        <w:footnoteReference w:id="164"/>
      </w:r>
      <w:r w:rsidR="007D0A2E">
        <w:rPr>
          <w:rFonts w:hint="eastAsia"/>
        </w:rPr>
        <w:t>；</w:t>
      </w:r>
      <w:r>
        <w:t>女の子と男の子</w:t>
      </w:r>
      <w:r w:rsidR="007D0A2E">
        <w:rPr>
          <w:rFonts w:hint="eastAsia"/>
        </w:rPr>
        <w:t>；</w:t>
      </w:r>
      <w:r>
        <w:t>子</w:t>
      </w:r>
      <w:r w:rsidR="00680524">
        <w:rPr>
          <w:rFonts w:hint="eastAsia"/>
        </w:rPr>
        <w:t>ども</w:t>
      </w:r>
      <w:r w:rsidR="007D0A2E">
        <w:rPr>
          <w:rFonts w:hint="eastAsia"/>
        </w:rPr>
        <w:t>；</w:t>
      </w:r>
      <w:r>
        <w:t>若者</w:t>
      </w:r>
      <w:r w:rsidR="007D0A2E">
        <w:rPr>
          <w:rFonts w:hint="eastAsia"/>
        </w:rPr>
        <w:t>；</w:t>
      </w:r>
      <w:r>
        <w:t>高齢者</w:t>
      </w:r>
      <w:r w:rsidR="007D0A2E">
        <w:rPr>
          <w:rFonts w:hint="eastAsia"/>
        </w:rPr>
        <w:t>；</w:t>
      </w:r>
      <w:r w:rsidR="00680524">
        <w:rPr>
          <w:rFonts w:hint="eastAsia"/>
        </w:rPr>
        <w:t>少数派、</w:t>
      </w:r>
      <w:r>
        <w:t>民族</w:t>
      </w:r>
      <w:r w:rsidR="00680524">
        <w:rPr>
          <w:rFonts w:hint="eastAsia"/>
        </w:rPr>
        <w:t>的</w:t>
      </w:r>
      <w:r>
        <w:t>、宗教</w:t>
      </w:r>
      <w:r w:rsidR="00680524">
        <w:rPr>
          <w:rFonts w:hint="eastAsia"/>
        </w:rPr>
        <w:t>的および/または</w:t>
      </w:r>
      <w:r>
        <w:t>言語</w:t>
      </w:r>
      <w:r w:rsidR="00680524">
        <w:rPr>
          <w:rFonts w:hint="eastAsia"/>
        </w:rPr>
        <w:t>的</w:t>
      </w:r>
      <w:r>
        <w:t>グループ（ロマ人を含む）</w:t>
      </w:r>
      <w:r w:rsidR="00FB1F6B" w:rsidRPr="00F000F1">
        <w:rPr>
          <w:rStyle w:val="ac"/>
          <w:rFonts w:cs="Arial"/>
        </w:rPr>
        <w:footnoteReference w:id="165"/>
      </w:r>
      <w:r w:rsidR="007D0A2E">
        <w:rPr>
          <w:rFonts w:hint="eastAsia"/>
        </w:rPr>
        <w:t>；</w:t>
      </w:r>
      <w:r>
        <w:t>先住民</w:t>
      </w:r>
      <w:r w:rsidR="007D0A2E">
        <w:rPr>
          <w:rFonts w:hint="eastAsia"/>
        </w:rPr>
        <w:t>；</w:t>
      </w:r>
      <w:r>
        <w:t>移民、難民、亡命希望者</w:t>
      </w:r>
      <w:r w:rsidR="007D0A2E">
        <w:rPr>
          <w:rFonts w:hint="eastAsia"/>
        </w:rPr>
        <w:t>；</w:t>
      </w:r>
      <w:r w:rsidR="00680524">
        <w:rPr>
          <w:rFonts w:hint="eastAsia"/>
        </w:rPr>
        <w:t>国籍のない人</w:t>
      </w:r>
      <w:r w:rsidR="00FB1F6B" w:rsidRPr="00F000F1">
        <w:rPr>
          <w:rStyle w:val="ac"/>
          <w:rFonts w:cs="Arial"/>
        </w:rPr>
        <w:footnoteReference w:id="166"/>
      </w:r>
      <w:r w:rsidR="007D0A2E">
        <w:rPr>
          <w:rFonts w:hint="eastAsia"/>
        </w:rPr>
        <w:t>；</w:t>
      </w:r>
      <w:r>
        <w:t>遠隔地または農村部に住む人々</w:t>
      </w:r>
      <w:r w:rsidR="007D0A2E">
        <w:rPr>
          <w:rFonts w:hint="eastAsia"/>
        </w:rPr>
        <w:t>；</w:t>
      </w:r>
      <w:r w:rsidR="007D0A2E">
        <w:t>障害のある</w:t>
      </w:r>
      <w:r>
        <w:t>レズビアン、ゲイ、バイセクシュアル、トランスジェンダー</w:t>
      </w:r>
      <w:r w:rsidR="00FB1F6B" w:rsidRPr="00F000F1">
        <w:rPr>
          <w:rStyle w:val="ac"/>
          <w:rFonts w:cs="Arial"/>
          <w:bCs/>
          <w:iCs/>
        </w:rPr>
        <w:footnoteReference w:id="167"/>
      </w:r>
      <w:r>
        <w:t>、クィア</w:t>
      </w:r>
      <w:r w:rsidR="007D0A2E">
        <w:rPr>
          <w:rFonts w:hint="eastAsia"/>
        </w:rPr>
        <w:t>（迷っている人）</w:t>
      </w:r>
      <w:r w:rsidR="00FB1F6B" w:rsidRPr="00F000F1">
        <w:rPr>
          <w:rStyle w:val="ac"/>
          <w:rFonts w:cs="Arial"/>
          <w:bCs/>
          <w:iCs/>
          <w:lang w:val="en-GB"/>
        </w:rPr>
        <w:footnoteReference w:id="168"/>
      </w:r>
      <w:r>
        <w:t>、インターセックスの人</w:t>
      </w:r>
      <w:r w:rsidR="00FB1F6B" w:rsidRPr="00F000F1">
        <w:rPr>
          <w:rStyle w:val="ac"/>
          <w:rFonts w:cs="Arial"/>
          <w:bCs/>
          <w:iCs/>
        </w:rPr>
        <w:footnoteReference w:id="169"/>
      </w:r>
      <w:r w:rsidR="007D0A2E">
        <w:rPr>
          <w:rFonts w:hint="eastAsia"/>
        </w:rPr>
        <w:t>；</w:t>
      </w:r>
      <w:r>
        <w:t>障害のあるアフリカ系</w:t>
      </w:r>
      <w:r w:rsidR="007D0A2E">
        <w:rPr>
          <w:rFonts w:hint="eastAsia"/>
        </w:rPr>
        <w:t>子孫</w:t>
      </w:r>
      <w:r w:rsidR="00FB1F6B" w:rsidRPr="00F000F1">
        <w:rPr>
          <w:rStyle w:val="ac"/>
          <w:rFonts w:cs="Arial"/>
          <w:bCs/>
          <w:iCs/>
        </w:rPr>
        <w:footnoteReference w:id="170"/>
      </w:r>
      <w:r w:rsidR="007D0A2E">
        <w:rPr>
          <w:rFonts w:hint="eastAsia"/>
        </w:rPr>
        <w:t>、</w:t>
      </w:r>
      <w:r>
        <w:t>および</w:t>
      </w:r>
      <w:r w:rsidR="007D0A2E">
        <w:rPr>
          <w:rFonts w:hint="eastAsia"/>
        </w:rPr>
        <w:t>その他の、</w:t>
      </w:r>
      <w:r>
        <w:t>関連する非常に特定の人々のグループ</w:t>
      </w:r>
      <w:r w:rsidR="007D0A2E">
        <w:rPr>
          <w:rFonts w:hint="eastAsia"/>
        </w:rPr>
        <w:t>（</w:t>
      </w:r>
      <w:r>
        <w:t>たとえば、オーストラリアの障害</w:t>
      </w:r>
      <w:r w:rsidR="002620FB">
        <w:t>のある</w:t>
      </w:r>
      <w:r>
        <w:t>アボリジニおよびトレス海峡の島民</w:t>
      </w:r>
      <w:r w:rsidR="00FB1F6B" w:rsidRPr="00F000F1">
        <w:rPr>
          <w:rStyle w:val="ac"/>
          <w:rFonts w:cs="Arial"/>
          <w:bCs/>
          <w:iCs/>
        </w:rPr>
        <w:footnoteReference w:id="171"/>
      </w:r>
      <w:r>
        <w:t>、エクアドルの</w:t>
      </w:r>
      <w:r w:rsidR="007D0A2E">
        <w:rPr>
          <w:rFonts w:hint="eastAsia"/>
        </w:rPr>
        <w:t>アフリカ系</w:t>
      </w:r>
      <w:r>
        <w:t>エクアドルおよびモンビオの人々</w:t>
      </w:r>
      <w:r w:rsidR="00FB1F6B" w:rsidRPr="00F000F1">
        <w:rPr>
          <w:rStyle w:val="ac"/>
          <w:rFonts w:cs="Arial"/>
          <w:bCs/>
          <w:iCs/>
        </w:rPr>
        <w:footnoteReference w:id="172"/>
      </w:r>
      <w:r w:rsidR="007D0A2E">
        <w:rPr>
          <w:rFonts w:hint="eastAsia"/>
        </w:rPr>
        <w:t>）</w:t>
      </w:r>
      <w:r>
        <w:t>。</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iv</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007D0A2E">
        <w:rPr>
          <w:rFonts w:ascii="ＭＳ ゴシック" w:eastAsia="ＭＳ ゴシック" w:hAnsi="ＭＳ ゴシック" w:hint="eastAsia"/>
          <w:b/>
          <w:bCs/>
        </w:rPr>
        <w:t>ジェンダー</w:t>
      </w:r>
    </w:p>
    <w:p w:rsidR="00F87D84" w:rsidRDefault="00F87D84" w:rsidP="00AF1B71"/>
    <w:p w:rsidR="00AF1B71" w:rsidRDefault="00AF1B71" w:rsidP="00AF1B71">
      <w:r>
        <w:t>65.</w:t>
      </w:r>
      <w:r w:rsidR="00744D33">
        <w:t xml:space="preserve"> </w:t>
      </w:r>
      <w:r w:rsidR="007D0A2E">
        <w:rPr>
          <w:rFonts w:hint="eastAsia"/>
        </w:rPr>
        <w:t>年々</w:t>
      </w:r>
      <w:r>
        <w:t>、</w:t>
      </w:r>
      <w:r w:rsidR="007D0A2E">
        <w:rPr>
          <w:rFonts w:hint="eastAsia"/>
        </w:rPr>
        <w:t>ジェンダー</w:t>
      </w:r>
      <w:r>
        <w:t>の視点がCRPD委員会の</w:t>
      </w:r>
      <w:r w:rsidR="007D0A2E">
        <w:rPr>
          <w:rFonts w:hint="eastAsia"/>
        </w:rPr>
        <w:t>活動</w:t>
      </w:r>
      <w:r>
        <w:t>に</w:t>
      </w:r>
      <w:r w:rsidR="007D0A2E">
        <w:rPr>
          <w:rFonts w:hint="eastAsia"/>
        </w:rPr>
        <w:t>多く</w:t>
      </w:r>
      <w:r>
        <w:t>含まれるようになった。</w:t>
      </w:r>
      <w:r w:rsidRPr="00274DCA">
        <w:t>委員会</w:t>
      </w:r>
      <w:r>
        <w:t>は、性別を</w:t>
      </w:r>
      <w:r w:rsidR="00274DCA">
        <w:t>障害のある人</w:t>
      </w:r>
      <w:r>
        <w:t>の多様性</w:t>
      </w:r>
      <w:r w:rsidR="00274DCA">
        <w:rPr>
          <w:rFonts w:hint="eastAsia"/>
        </w:rPr>
        <w:t>を</w:t>
      </w:r>
      <w:r>
        <w:t>構成</w:t>
      </w:r>
      <w:r w:rsidR="00274DCA">
        <w:rPr>
          <w:rFonts w:hint="eastAsia"/>
        </w:rPr>
        <w:t>する</w:t>
      </w:r>
      <w:r>
        <w:t>要素であり</w:t>
      </w:r>
      <w:r w:rsidR="00FB1F6B" w:rsidRPr="00F000F1">
        <w:rPr>
          <w:rStyle w:val="ac"/>
          <w:rFonts w:cs="Arial"/>
        </w:rPr>
        <w:footnoteReference w:id="173"/>
      </w:r>
      <w:r>
        <w:t>、障害</w:t>
      </w:r>
      <w:r w:rsidR="002620FB">
        <w:t>のある</w:t>
      </w:r>
      <w:r>
        <w:t>女性に</w:t>
      </w:r>
      <w:r w:rsidR="00274DCA">
        <w:t>特に</w:t>
      </w:r>
      <w:r>
        <w:t>影響</w:t>
      </w:r>
      <w:r w:rsidR="00274DCA">
        <w:rPr>
          <w:rFonts w:hint="eastAsia"/>
        </w:rPr>
        <w:t>する</w:t>
      </w:r>
      <w:r>
        <w:t>交差的または複数の差別の</w:t>
      </w:r>
      <w:r w:rsidR="00274DCA">
        <w:rPr>
          <w:rFonts w:hint="eastAsia"/>
        </w:rPr>
        <w:t>理由</w:t>
      </w:r>
      <w:r>
        <w:t>と認識して</w:t>
      </w:r>
      <w:r w:rsidR="003F6448">
        <w:t>いる</w:t>
      </w:r>
      <w:r w:rsidR="00FB1F6B" w:rsidRPr="00F000F1">
        <w:rPr>
          <w:rStyle w:val="ac"/>
          <w:rFonts w:cs="Arial"/>
        </w:rPr>
        <w:footnoteReference w:id="174"/>
      </w:r>
      <w:r>
        <w:t>。委員会は、障害のある女性と少女は、</w:t>
      </w:r>
      <w:r w:rsidR="00274DCA">
        <w:t>ほとんどの生活分野で</w:t>
      </w:r>
      <w:r w:rsidR="00FB1F6B" w:rsidRPr="00F000F1">
        <w:rPr>
          <w:rStyle w:val="ac"/>
          <w:rFonts w:cs="Arial"/>
        </w:rPr>
        <w:footnoteReference w:id="175"/>
      </w:r>
      <w:r w:rsidR="00274DCA">
        <w:rPr>
          <w:rFonts w:hint="eastAsia"/>
        </w:rPr>
        <w:t>、</w:t>
      </w:r>
      <w:r>
        <w:t>特に</w:t>
      </w:r>
      <w:r w:rsidR="00274DCA">
        <w:rPr>
          <w:rFonts w:hint="eastAsia"/>
        </w:rPr>
        <w:t>強制</w:t>
      </w:r>
      <w:r>
        <w:t>不妊、性的および</w:t>
      </w:r>
      <w:r w:rsidR="00274DCA">
        <w:rPr>
          <w:rFonts w:hint="eastAsia"/>
        </w:rPr>
        <w:t>身体的</w:t>
      </w:r>
      <w:r>
        <w:t>虐待、隔離を含む、ジェンダーに基づく差別</w:t>
      </w:r>
      <w:r w:rsidR="00FB1F6B" w:rsidRPr="00F000F1">
        <w:rPr>
          <w:rStyle w:val="ac"/>
          <w:rFonts w:cs="Arial"/>
        </w:rPr>
        <w:footnoteReference w:id="176"/>
      </w:r>
      <w:r>
        <w:t>と暴力</w:t>
      </w:r>
      <w:r w:rsidR="00FB1F6B" w:rsidRPr="00F000F1">
        <w:rPr>
          <w:rStyle w:val="ac"/>
          <w:rFonts w:cs="Arial"/>
        </w:rPr>
        <w:footnoteReference w:id="177"/>
      </w:r>
      <w:r>
        <w:t>など</w:t>
      </w:r>
      <w:r w:rsidR="00274DCA">
        <w:rPr>
          <w:rFonts w:hint="eastAsia"/>
        </w:rPr>
        <w:t>の</w:t>
      </w:r>
      <w:r>
        <w:t>障壁に直面していると強調した</w:t>
      </w:r>
      <w:r w:rsidR="00FB1F6B" w:rsidRPr="00F000F1">
        <w:rPr>
          <w:rStyle w:val="ac"/>
          <w:rFonts w:cs="Arial"/>
        </w:rPr>
        <w:footnoteReference w:id="178"/>
      </w:r>
      <w:r>
        <w:t>。</w:t>
      </w:r>
    </w:p>
    <w:p w:rsidR="00F87D84" w:rsidRDefault="00F87D84" w:rsidP="00AF1B71"/>
    <w:p w:rsidR="00AF1B71" w:rsidRDefault="00AF1B71" w:rsidP="00AF1B71">
      <w:r w:rsidRPr="00274DCA">
        <w:t>66.</w:t>
      </w:r>
      <w:r w:rsidR="00744D33" w:rsidRPr="00274DCA">
        <w:t xml:space="preserve"> </w:t>
      </w:r>
      <w:r w:rsidRPr="00274DCA">
        <w:t>委員会</w:t>
      </w:r>
      <w:r>
        <w:t>は、</w:t>
      </w:r>
      <w:r w:rsidR="00274DCA">
        <w:rPr>
          <w:rFonts w:hint="eastAsia"/>
        </w:rPr>
        <w:t>ジェンダー</w:t>
      </w:r>
      <w:r>
        <w:t>の</w:t>
      </w:r>
      <w:r w:rsidR="00274DCA">
        <w:rPr>
          <w:rFonts w:hint="eastAsia"/>
        </w:rPr>
        <w:t>進んだ</w:t>
      </w:r>
      <w:r>
        <w:t>定義を採用した。 2016年には、障害</w:t>
      </w:r>
      <w:r w:rsidR="002620FB">
        <w:t>のある</w:t>
      </w:r>
      <w:r>
        <w:t>女性と少女に関する一般</w:t>
      </w:r>
      <w:r w:rsidR="00274DCA">
        <w:rPr>
          <w:rFonts w:hint="eastAsia"/>
        </w:rPr>
        <w:t>的意見No.</w:t>
      </w:r>
      <w:r>
        <w:t>3を採択し、「性は生物学的差異を指し、</w:t>
      </w:r>
      <w:r w:rsidR="00274DCA">
        <w:rPr>
          <w:rFonts w:hint="eastAsia"/>
        </w:rPr>
        <w:t>ジェンダー</w:t>
      </w:r>
      <w:r>
        <w:t>は社会または文化が男性</w:t>
      </w:r>
      <w:r w:rsidR="00274DCA">
        <w:rPr>
          <w:rFonts w:hint="eastAsia"/>
        </w:rPr>
        <w:t>的</w:t>
      </w:r>
      <w:r>
        <w:t>または女性</w:t>
      </w:r>
      <w:r w:rsidR="00274DCA">
        <w:rPr>
          <w:rFonts w:hint="eastAsia"/>
        </w:rPr>
        <w:t>的</w:t>
      </w:r>
      <w:r>
        <w:t>として描写する特性を指す」と述べ、性別と</w:t>
      </w:r>
      <w:r w:rsidR="00274DCA">
        <w:rPr>
          <w:rFonts w:hint="eastAsia"/>
        </w:rPr>
        <w:t>ジェンダーの</w:t>
      </w:r>
      <w:r>
        <w:t>別を区別し</w:t>
      </w:r>
      <w:r w:rsidR="00274DCA">
        <w:rPr>
          <w:rFonts w:hint="eastAsia"/>
        </w:rPr>
        <w:t>た</w:t>
      </w:r>
      <w:r w:rsidR="00FB1F6B" w:rsidRPr="00F000F1">
        <w:rPr>
          <w:rStyle w:val="ac"/>
          <w:rFonts w:cs="Arial"/>
        </w:rPr>
        <w:footnoteReference w:id="179"/>
      </w:r>
      <w:r>
        <w:t>。</w:t>
      </w:r>
      <w:r w:rsidR="00274DCA">
        <w:t>一般的意見</w:t>
      </w:r>
      <w:r w:rsidR="00274DCA">
        <w:rPr>
          <w:rFonts w:hint="eastAsia"/>
        </w:rPr>
        <w:t>No.</w:t>
      </w:r>
      <w:r>
        <w:t>5および</w:t>
      </w:r>
      <w:r w:rsidR="00B61E9E">
        <w:t>一般的意見</w:t>
      </w:r>
      <w:r>
        <w:t>No. 6は、さらに「</w:t>
      </w:r>
      <w:r w:rsidR="00274DCA">
        <w:rPr>
          <w:rFonts w:hint="eastAsia"/>
        </w:rPr>
        <w:t>ジェンダー　アイデンテティ</w:t>
      </w:r>
      <w:r>
        <w:t>」</w:t>
      </w:r>
      <w:r w:rsidR="00FB1F6B" w:rsidRPr="00F000F1">
        <w:rPr>
          <w:rStyle w:val="ac"/>
          <w:rFonts w:cs="Arial"/>
        </w:rPr>
        <w:footnoteReference w:id="180"/>
      </w:r>
      <w:r>
        <w:t>および「</w:t>
      </w:r>
      <w:r w:rsidR="00274DCA">
        <w:rPr>
          <w:rFonts w:hint="eastAsia"/>
        </w:rPr>
        <w:t>ジェンダー</w:t>
      </w:r>
      <w:r>
        <w:t>表現」</w:t>
      </w:r>
      <w:r w:rsidR="00FB1F6B" w:rsidRPr="00F000F1">
        <w:rPr>
          <w:rStyle w:val="ac"/>
          <w:rFonts w:cs="Arial"/>
        </w:rPr>
        <w:footnoteReference w:id="181"/>
      </w:r>
      <w:r>
        <w:t>に言及して</w:t>
      </w:r>
      <w:r w:rsidR="003F6448">
        <w:t>いる</w:t>
      </w:r>
      <w:r>
        <w:t>。そのため、ジェンダーの平等と障害のある女性への言及は、進歩的な方法で理解する必要が</w:t>
      </w:r>
      <w:r w:rsidR="003F6448">
        <w:t>ある</w:t>
      </w:r>
      <w:r>
        <w:t>。委員会は、障害のある女性は</w:t>
      </w:r>
      <w:r w:rsidR="00274DCA">
        <w:rPr>
          <w:rFonts w:hint="eastAsia"/>
        </w:rPr>
        <w:t>均質</w:t>
      </w:r>
      <w:r>
        <w:t>のグループではなく、とりわけ</w:t>
      </w:r>
      <w:r w:rsidR="00274DCA">
        <w:t>障害</w:t>
      </w:r>
      <w:r w:rsidR="00274DCA">
        <w:rPr>
          <w:rFonts w:hint="eastAsia"/>
        </w:rPr>
        <w:t>のある</w:t>
      </w:r>
      <w:r>
        <w:t>トランスジェンダーの女性と</w:t>
      </w:r>
      <w:r>
        <w:rPr>
          <w:rFonts w:hint="eastAsia"/>
        </w:rPr>
        <w:t>インターセックス</w:t>
      </w:r>
      <w:r w:rsidR="00274DCA">
        <w:t>の女性</w:t>
      </w:r>
      <w:r>
        <w:rPr>
          <w:rFonts w:hint="eastAsia"/>
        </w:rPr>
        <w:t>を含むと明確に述べた</w:t>
      </w:r>
      <w:r w:rsidR="0082286D" w:rsidRPr="00F000F1">
        <w:rPr>
          <w:rStyle w:val="ac"/>
          <w:rFonts w:cs="Arial"/>
        </w:rPr>
        <w:footnoteReference w:id="182"/>
      </w:r>
      <w:r>
        <w:rPr>
          <w:rFonts w:hint="eastAsia"/>
        </w:rPr>
        <w:t>。</w:t>
      </w:r>
    </w:p>
    <w:p w:rsidR="00F87D84" w:rsidRDefault="00F87D84" w:rsidP="00AF1B71"/>
    <w:p w:rsidR="00AF1B71" w:rsidRDefault="00AF1B71" w:rsidP="00AF1B71">
      <w:r>
        <w:t>67.</w:t>
      </w:r>
      <w:r w:rsidR="00744D33">
        <w:t xml:space="preserve"> </w:t>
      </w:r>
      <w:r>
        <w:t>ジェンダーの平等と障害のある</w:t>
      </w:r>
      <w:r w:rsidR="00274DCA">
        <w:rPr>
          <w:rFonts w:hint="eastAsia"/>
        </w:rPr>
        <w:t>女性と</w:t>
      </w:r>
      <w:r>
        <w:t>少女の権利を確保するために</w:t>
      </w:r>
      <w:r w:rsidR="0082286D" w:rsidRPr="00F000F1">
        <w:rPr>
          <w:rStyle w:val="ac"/>
          <w:rFonts w:cs="Arial"/>
        </w:rPr>
        <w:footnoteReference w:id="183"/>
      </w:r>
      <w:r>
        <w:t>、委員会は、締約国は、アクセシビリティ対策を開発し</w:t>
      </w:r>
      <w:r w:rsidR="0082286D" w:rsidRPr="00F000F1">
        <w:rPr>
          <w:rStyle w:val="ac"/>
          <w:rFonts w:cs="Arial"/>
        </w:rPr>
        <w:footnoteReference w:id="184"/>
      </w:r>
      <w:r>
        <w:t>、</w:t>
      </w:r>
      <w:r w:rsidR="00274DCA">
        <w:rPr>
          <w:rFonts w:hint="eastAsia"/>
        </w:rPr>
        <w:t>保健医療（とくに、</w:t>
      </w:r>
      <w:r>
        <w:t>婦人科および産科サービスを含む生殖医療</w:t>
      </w:r>
      <w:r w:rsidR="00274DCA">
        <w:rPr>
          <w:rFonts w:hint="eastAsia"/>
        </w:rPr>
        <w:t>）</w:t>
      </w:r>
      <w:r w:rsidR="0082286D" w:rsidRPr="00F000F1">
        <w:rPr>
          <w:rStyle w:val="ac"/>
          <w:rFonts w:cs="Arial"/>
        </w:rPr>
        <w:footnoteReference w:id="185"/>
      </w:r>
      <w:r>
        <w:t>を提供し、</w:t>
      </w:r>
      <w:r w:rsidR="00274DCA">
        <w:rPr>
          <w:rFonts w:hint="eastAsia"/>
        </w:rPr>
        <w:t>汚名、</w:t>
      </w:r>
      <w:r>
        <w:t>偏見</w:t>
      </w:r>
      <w:r w:rsidR="00274DCA">
        <w:rPr>
          <w:rFonts w:hint="eastAsia"/>
        </w:rPr>
        <w:t>および暴力</w:t>
      </w:r>
      <w:r w:rsidR="0082286D" w:rsidRPr="00F000F1">
        <w:rPr>
          <w:rStyle w:val="ac"/>
          <w:rFonts w:cs="Arial"/>
        </w:rPr>
        <w:footnoteReference w:id="186"/>
      </w:r>
      <w:r w:rsidR="00274DCA">
        <w:rPr>
          <w:rFonts w:hint="eastAsia"/>
        </w:rPr>
        <w:t>に</w:t>
      </w:r>
      <w:r>
        <w:t>対処</w:t>
      </w:r>
      <w:r w:rsidR="00274DCA">
        <w:rPr>
          <w:rFonts w:hint="eastAsia"/>
        </w:rPr>
        <w:t>し、</w:t>
      </w:r>
      <w:r w:rsidR="00274DCA">
        <w:t>教育の権利</w:t>
      </w:r>
      <w:r w:rsidR="0082286D" w:rsidRPr="00F000F1">
        <w:rPr>
          <w:rStyle w:val="ac"/>
          <w:rFonts w:cs="Arial"/>
          <w:color w:val="000000"/>
        </w:rPr>
        <w:footnoteReference w:id="187"/>
      </w:r>
      <w:r w:rsidR="00274DCA">
        <w:rPr>
          <w:rFonts w:hint="eastAsia"/>
        </w:rPr>
        <w:t>および</w:t>
      </w:r>
      <w:r w:rsidR="00274DCA">
        <w:t>自立生活</w:t>
      </w:r>
      <w:r w:rsidR="00274DCA">
        <w:rPr>
          <w:rFonts w:hint="eastAsia"/>
        </w:rPr>
        <w:t>と地域社会への</w:t>
      </w:r>
      <w:r w:rsidR="00274DCA">
        <w:t>参加の権利</w:t>
      </w:r>
      <w:r w:rsidR="0082286D" w:rsidRPr="00F000F1">
        <w:rPr>
          <w:rStyle w:val="ac"/>
          <w:rFonts w:cs="Arial"/>
        </w:rPr>
        <w:footnoteReference w:id="188"/>
      </w:r>
      <w:r w:rsidR="00274DCA">
        <w:rPr>
          <w:rFonts w:hint="eastAsia"/>
        </w:rPr>
        <w:t>の</w:t>
      </w:r>
      <w:r w:rsidR="00274DCA">
        <w:t>実現を確保する</w:t>
      </w:r>
      <w:r>
        <w:t>際に</w:t>
      </w:r>
      <w:r w:rsidR="00274DCA">
        <w:rPr>
          <w:rFonts w:hint="eastAsia"/>
        </w:rPr>
        <w:t>、</w:t>
      </w:r>
      <w:r>
        <w:t>ジェンダーを考慮する必要があることに留意した。</w:t>
      </w:r>
      <w:r w:rsidR="00274DCA">
        <w:rPr>
          <w:rFonts w:hint="eastAsia"/>
        </w:rPr>
        <w:t>この文脈で</w:t>
      </w:r>
      <w:r>
        <w:t>、すべての</w:t>
      </w:r>
      <w:r w:rsidR="00274DCA">
        <w:rPr>
          <w:rFonts w:hint="eastAsia"/>
        </w:rPr>
        <w:t>措置</w:t>
      </w:r>
      <w:r>
        <w:t>とその監視</w:t>
      </w:r>
      <w:r w:rsidR="0082286D" w:rsidRPr="00F000F1">
        <w:rPr>
          <w:rStyle w:val="ac"/>
          <w:rFonts w:cs="Arial"/>
          <w:color w:val="000000"/>
        </w:rPr>
        <w:footnoteReference w:id="189"/>
      </w:r>
      <w:r>
        <w:t>は</w:t>
      </w:r>
      <w:r w:rsidR="00274DCA">
        <w:rPr>
          <w:rFonts w:hint="eastAsia"/>
        </w:rPr>
        <w:t>ジェンダー</w:t>
      </w:r>
      <w:r>
        <w:t>に敏感でなければな</w:t>
      </w:r>
      <w:r w:rsidR="00274DCA">
        <w:rPr>
          <w:rFonts w:hint="eastAsia"/>
        </w:rPr>
        <w:t>らない</w:t>
      </w:r>
      <w:r>
        <w:t>。委員会はまた、障害のある女性と女</w:t>
      </w:r>
      <w:r w:rsidR="00274DCA">
        <w:rPr>
          <w:rFonts w:hint="eastAsia"/>
        </w:rPr>
        <w:t>子</w:t>
      </w:r>
      <w:r>
        <w:t>が、自分たちの生活に影響を与えるすべてのプログラムの設計、実施、監視に関与すべきで</w:t>
      </w:r>
      <w:r>
        <w:rPr>
          <w:rFonts w:hint="eastAsia"/>
        </w:rPr>
        <w:t>あることを強調</w:t>
      </w:r>
      <w:r w:rsidR="003F6448">
        <w:rPr>
          <w:rFonts w:hint="eastAsia"/>
        </w:rPr>
        <w:t>した</w:t>
      </w:r>
      <w:r w:rsidR="0082286D" w:rsidRPr="00F000F1">
        <w:rPr>
          <w:rStyle w:val="ac"/>
          <w:rFonts w:cs="Arial"/>
          <w:color w:val="000000"/>
        </w:rPr>
        <w:footnoteReference w:id="190"/>
      </w:r>
      <w:r>
        <w:rPr>
          <w:rFonts w:hint="eastAsia"/>
        </w:rPr>
        <w:t>。</w:t>
      </w:r>
      <w:r>
        <w:t>2017年には、締約国に対し、委員会の</w:t>
      </w:r>
      <w:r w:rsidR="00274DCA">
        <w:rPr>
          <w:rFonts w:hint="eastAsia"/>
        </w:rPr>
        <w:t>今後の</w:t>
      </w:r>
      <w:r>
        <w:t>選挙に障害のある女性を含めることを促進する必要性に留意するよう求めた</w:t>
      </w:r>
      <w:r w:rsidR="0082286D" w:rsidRPr="00F000F1">
        <w:rPr>
          <w:rStyle w:val="ac"/>
          <w:rFonts w:cs="Arial"/>
          <w:bCs/>
          <w:iCs/>
          <w:color w:val="000000"/>
        </w:rPr>
        <w:footnoteReference w:id="191"/>
      </w:r>
      <w:r>
        <w:t>。</w:t>
      </w:r>
    </w:p>
    <w:p w:rsidR="00F87D84" w:rsidRDefault="00F87D84" w:rsidP="00AF1B71">
      <w:pPr>
        <w:rPr>
          <w:b/>
          <w:bCs/>
        </w:rPr>
      </w:pPr>
    </w:p>
    <w:p w:rsidR="00AF1B71" w:rsidRPr="00744D33" w:rsidRDefault="00AF1B71" w:rsidP="00744D33">
      <w:pPr>
        <w:pStyle w:val="a7"/>
        <w:numPr>
          <w:ilvl w:val="0"/>
          <w:numId w:val="3"/>
        </w:numPr>
        <w:ind w:leftChars="0"/>
        <w:rPr>
          <w:rFonts w:ascii="ＭＳ ゴシック" w:eastAsia="ＭＳ ゴシック" w:hAnsi="ＭＳ ゴシック"/>
          <w:b/>
          <w:bCs/>
        </w:rPr>
      </w:pPr>
      <w:r w:rsidRPr="00744D33">
        <w:rPr>
          <w:rFonts w:ascii="ＭＳ ゴシック" w:eastAsia="ＭＳ ゴシック" w:hAnsi="ＭＳ ゴシック"/>
          <w:b/>
          <w:bCs/>
        </w:rPr>
        <w:t>委員会が扱</w:t>
      </w:r>
      <w:r w:rsidR="00274DCA">
        <w:rPr>
          <w:rFonts w:ascii="ＭＳ ゴシック" w:eastAsia="ＭＳ ゴシック" w:hAnsi="ＭＳ ゴシック" w:hint="eastAsia"/>
          <w:b/>
          <w:bCs/>
        </w:rPr>
        <w:t>った</w:t>
      </w:r>
      <w:r w:rsidR="00352327">
        <w:rPr>
          <w:rFonts w:ascii="ＭＳ ゴシック" w:eastAsia="ＭＳ ゴシック" w:hAnsi="ＭＳ ゴシック" w:hint="eastAsia"/>
          <w:b/>
          <w:bCs/>
        </w:rPr>
        <w:t>事項</w:t>
      </w:r>
    </w:p>
    <w:p w:rsidR="00F87D84" w:rsidRPr="00FF6309" w:rsidRDefault="00F87D84" w:rsidP="00AF1B71">
      <w:pPr>
        <w:rPr>
          <w:rFonts w:ascii="ＭＳ ゴシック" w:eastAsia="ＭＳ ゴシック" w:hAnsi="ＭＳ ゴシック"/>
          <w:b/>
          <w:bCs/>
        </w:rPr>
      </w:pPr>
    </w:p>
    <w:p w:rsidR="00AF1B71" w:rsidRPr="00FF6309" w:rsidRDefault="00FF6309" w:rsidP="00AF1B71">
      <w:pPr>
        <w:rPr>
          <w:rFonts w:ascii="ＭＳ ゴシック" w:eastAsia="ＭＳ ゴシック" w:hAnsi="ＭＳ ゴシック"/>
          <w:b/>
          <w:bCs/>
        </w:rPr>
      </w:pPr>
      <w:r>
        <w:rPr>
          <w:rFonts w:ascii="ＭＳ ゴシック" w:eastAsia="ＭＳ ゴシック" w:hAnsi="ＭＳ ゴシック" w:hint="eastAsia"/>
          <w:b/>
          <w:bCs/>
        </w:rPr>
        <w:t>i</w:t>
      </w:r>
      <w:r w:rsidR="00720EAA" w:rsidRPr="00FF6309">
        <w:rPr>
          <w:rFonts w:ascii="ＭＳ ゴシック" w:eastAsia="ＭＳ ゴシック" w:hAnsi="ＭＳ ゴシック" w:hint="eastAsia"/>
          <w:b/>
          <w:bCs/>
        </w:rPr>
        <w:t>.</w:t>
      </w:r>
      <w:r w:rsidR="00744D33">
        <w:rPr>
          <w:rFonts w:ascii="ＭＳ ゴシック" w:eastAsia="ＭＳ ゴシック" w:hAnsi="ＭＳ ゴシック"/>
          <w:b/>
          <w:bCs/>
        </w:rPr>
        <w:t xml:space="preserve"> </w:t>
      </w:r>
      <w:r w:rsidR="00274DCA">
        <w:rPr>
          <w:rFonts w:ascii="ＭＳ ゴシック" w:eastAsia="ＭＳ ゴシック" w:hAnsi="ＭＳ ゴシック" w:hint="eastAsia"/>
          <w:b/>
          <w:bCs/>
        </w:rPr>
        <w:t>相当</w:t>
      </w:r>
      <w:r w:rsidR="00AF1B71" w:rsidRPr="00FF6309">
        <w:rPr>
          <w:rFonts w:ascii="ＭＳ ゴシック" w:eastAsia="ＭＳ ゴシック" w:hAnsi="ＭＳ ゴシック" w:hint="eastAsia"/>
          <w:b/>
          <w:bCs/>
        </w:rPr>
        <w:t>な生活水準と社会的</w:t>
      </w:r>
      <w:r w:rsidR="00274DCA">
        <w:rPr>
          <w:rFonts w:ascii="ＭＳ ゴシック" w:eastAsia="ＭＳ ゴシック" w:hAnsi="ＭＳ ゴシック" w:hint="eastAsia"/>
          <w:b/>
          <w:bCs/>
        </w:rPr>
        <w:t>保障</w:t>
      </w:r>
      <w:r w:rsidR="00AF1B71" w:rsidRPr="00FF6309">
        <w:rPr>
          <w:rFonts w:ascii="ＭＳ ゴシック" w:eastAsia="ＭＳ ゴシック" w:hAnsi="ＭＳ ゴシック" w:hint="eastAsia"/>
          <w:b/>
          <w:bCs/>
        </w:rPr>
        <w:t>（第</w:t>
      </w:r>
      <w:r w:rsidR="00AF1B71" w:rsidRPr="00FF6309">
        <w:rPr>
          <w:rFonts w:ascii="ＭＳ ゴシック" w:eastAsia="ＭＳ ゴシック" w:hAnsi="ＭＳ ゴシック"/>
          <w:b/>
          <w:bCs/>
        </w:rPr>
        <w:t>28条）</w:t>
      </w:r>
    </w:p>
    <w:p w:rsidR="00F87D84" w:rsidRDefault="00F87D84" w:rsidP="00AF1B71"/>
    <w:p w:rsidR="00AF1B71" w:rsidRDefault="00AF1B71" w:rsidP="00AF1B71">
      <w:r>
        <w:t>68.</w:t>
      </w:r>
      <w:r w:rsidR="00744D33">
        <w:t xml:space="preserve"> </w:t>
      </w:r>
      <w:r w:rsidR="00274DCA">
        <w:rPr>
          <w:rFonts w:hint="eastAsia"/>
        </w:rPr>
        <w:t>いくつかの機会に</w:t>
      </w:r>
      <w:r>
        <w:t>委員会は、条約第28条に明記されている、</w:t>
      </w:r>
      <w:r w:rsidR="00274DCA">
        <w:t>障害のある人</w:t>
      </w:r>
      <w:r>
        <w:t>に</w:t>
      </w:r>
      <w:r w:rsidR="00274DCA">
        <w:rPr>
          <w:rFonts w:hint="eastAsia"/>
        </w:rPr>
        <w:t>相当な</w:t>
      </w:r>
      <w:r>
        <w:t>生活水準および社会的</w:t>
      </w:r>
      <w:r w:rsidR="00274DCA">
        <w:rPr>
          <w:rFonts w:hint="eastAsia"/>
        </w:rPr>
        <w:t>保障</w:t>
      </w:r>
      <w:r>
        <w:t>を提供するという締約国の義務</w:t>
      </w:r>
      <w:r w:rsidR="00274DCA">
        <w:rPr>
          <w:rFonts w:hint="eastAsia"/>
        </w:rPr>
        <w:t>を取り上げた。</w:t>
      </w:r>
    </w:p>
    <w:p w:rsidR="00F87D84" w:rsidRDefault="00F87D84" w:rsidP="00AF1B71"/>
    <w:p w:rsidR="00AF1B71" w:rsidRDefault="00AF1B71" w:rsidP="00AF1B71">
      <w:r>
        <w:t>69.</w:t>
      </w:r>
      <w:r w:rsidR="00744D33">
        <w:t xml:space="preserve"> </w:t>
      </w:r>
      <w:r w:rsidR="00B61E9E">
        <w:t>一般的意見</w:t>
      </w:r>
      <w:r>
        <w:t>No. 2では、</w:t>
      </w:r>
      <w:r w:rsidR="00274DCA">
        <w:rPr>
          <w:rFonts w:hint="eastAsia"/>
        </w:rPr>
        <w:t>一般の</w:t>
      </w:r>
      <w:r w:rsidR="00274DCA">
        <w:t>社会的</w:t>
      </w:r>
      <w:r w:rsidR="00274DCA">
        <w:rPr>
          <w:rFonts w:hint="eastAsia"/>
        </w:rPr>
        <w:t>保障の措置と</w:t>
      </w:r>
      <w:r w:rsidR="00274DCA">
        <w:t>サービス</w:t>
      </w:r>
      <w:r w:rsidR="00274DCA">
        <w:rPr>
          <w:rFonts w:hint="eastAsia"/>
        </w:rPr>
        <w:t>および</w:t>
      </w:r>
      <w:r>
        <w:t>障害に特化した社会的</w:t>
      </w:r>
      <w:r w:rsidR="00274DCA">
        <w:rPr>
          <w:rFonts w:hint="eastAsia"/>
        </w:rPr>
        <w:t>保障の措置と</w:t>
      </w:r>
      <w:r>
        <w:t>サービスの両方をアクセシブルな方法で提供する必要があり、社会住宅プログラム</w:t>
      </w:r>
      <w:r w:rsidR="00274DCA">
        <w:rPr>
          <w:rFonts w:hint="eastAsia"/>
        </w:rPr>
        <w:t>で</w:t>
      </w:r>
      <w:r>
        <w:t>は</w:t>
      </w:r>
      <w:r w:rsidR="00274DCA">
        <w:t>障害のある人</w:t>
      </w:r>
      <w:r>
        <w:t>がアクセス可能な住宅を提供する必要があると明記</w:t>
      </w:r>
      <w:r w:rsidR="003F6448">
        <w:t>した</w:t>
      </w:r>
      <w:r w:rsidR="0082286D">
        <w:rPr>
          <w:rStyle w:val="ac"/>
          <w:rFonts w:cs="Arial"/>
        </w:rPr>
        <w:footnoteReference w:id="192"/>
      </w:r>
      <w:r>
        <w:t>。一般</w:t>
      </w:r>
      <w:r w:rsidR="00274DCA">
        <w:rPr>
          <w:rFonts w:hint="eastAsia"/>
        </w:rPr>
        <w:t>的意見</w:t>
      </w:r>
      <w:r>
        <w:t>No.6では、締約国は、特に貧困</w:t>
      </w:r>
      <w:r w:rsidR="00274DCA">
        <w:rPr>
          <w:rFonts w:hint="eastAsia"/>
        </w:rPr>
        <w:t>な</w:t>
      </w:r>
      <w:r>
        <w:t>障害</w:t>
      </w:r>
      <w:r w:rsidR="00274DCA">
        <w:rPr>
          <w:rFonts w:hint="eastAsia"/>
        </w:rPr>
        <w:t>のある人</w:t>
      </w:r>
      <w:r>
        <w:t>のために、</w:t>
      </w:r>
      <w:r w:rsidR="00274DCA">
        <w:rPr>
          <w:rFonts w:hint="eastAsia"/>
        </w:rPr>
        <w:t>機能</w:t>
      </w:r>
      <w:r>
        <w:t>障害に関連する</w:t>
      </w:r>
      <w:r w:rsidR="00274DCA">
        <w:rPr>
          <w:rFonts w:hint="eastAsia"/>
        </w:rPr>
        <w:t>ニーズのための</w:t>
      </w:r>
      <w:r>
        <w:t>適切で手頃な</w:t>
      </w:r>
      <w:r w:rsidR="00274DCA">
        <w:rPr>
          <w:rFonts w:hint="eastAsia"/>
        </w:rPr>
        <w:t>値段の</w:t>
      </w:r>
      <w:r>
        <w:t>サービス、</w:t>
      </w:r>
      <w:r w:rsidR="00274DCA">
        <w:rPr>
          <w:rFonts w:hint="eastAsia"/>
        </w:rPr>
        <w:t>機器</w:t>
      </w:r>
      <w:r>
        <w:t>、その他の支援へのアクセスを確保する義務があることに留意した</w:t>
      </w:r>
      <w:r w:rsidR="0082286D">
        <w:rPr>
          <w:rStyle w:val="ac"/>
          <w:rFonts w:cs="Arial"/>
        </w:rPr>
        <w:footnoteReference w:id="193"/>
      </w:r>
      <w:r>
        <w:t>。</w:t>
      </w:r>
      <w:r w:rsidR="00274DCA">
        <w:rPr>
          <w:rFonts w:hint="eastAsia"/>
        </w:rPr>
        <w:t>委員会は、</w:t>
      </w:r>
      <w:r>
        <w:t>障害</w:t>
      </w:r>
      <w:r w:rsidR="00274DCA">
        <w:rPr>
          <w:rFonts w:hint="eastAsia"/>
        </w:rPr>
        <w:t>のある人が</w:t>
      </w:r>
      <w:r>
        <w:t>障害に関連する費用を自分で支払うことは条約に反すると</w:t>
      </w:r>
      <w:r w:rsidR="00274DCA">
        <w:rPr>
          <w:rFonts w:hint="eastAsia"/>
        </w:rPr>
        <w:t>考えている</w:t>
      </w:r>
      <w:r w:rsidR="0082286D">
        <w:rPr>
          <w:rStyle w:val="ac"/>
          <w:rFonts w:cs="Arial"/>
        </w:rPr>
        <w:footnoteReference w:id="194"/>
      </w:r>
      <w:r w:rsidR="00274DCA">
        <w:rPr>
          <w:rFonts w:hint="eastAsia"/>
        </w:rPr>
        <w:t>。</w:t>
      </w:r>
    </w:p>
    <w:p w:rsidR="00F87D84" w:rsidRDefault="00F87D84" w:rsidP="00AF1B71"/>
    <w:p w:rsidR="00AF1B71" w:rsidRDefault="00AF1B71" w:rsidP="00AF1B71">
      <w:r>
        <w:t xml:space="preserve">70. </w:t>
      </w:r>
      <w:r w:rsidR="00744D33">
        <w:t xml:space="preserve"> </w:t>
      </w:r>
      <w:r>
        <w:t>2017年、英国に</w:t>
      </w:r>
      <w:r w:rsidR="00274DCA">
        <w:rPr>
          <w:rFonts w:hint="eastAsia"/>
        </w:rPr>
        <w:t>対する</w:t>
      </w:r>
      <w:r>
        <w:t>調査に関する委員会の報告書</w:t>
      </w:r>
      <w:r w:rsidR="00274DCA">
        <w:rPr>
          <w:rFonts w:hint="eastAsia"/>
        </w:rPr>
        <w:t>で、</w:t>
      </w:r>
      <w:r>
        <w:t>第28条</w:t>
      </w:r>
      <w:r w:rsidR="00274DCA">
        <w:rPr>
          <w:rFonts w:hint="eastAsia"/>
        </w:rPr>
        <w:t>についてのさ</w:t>
      </w:r>
      <w:r>
        <w:t>らなる明確化が</w:t>
      </w:r>
      <w:r w:rsidR="00274DCA">
        <w:rPr>
          <w:rFonts w:hint="eastAsia"/>
        </w:rPr>
        <w:t>なされた</w:t>
      </w:r>
      <w:r w:rsidR="0082286D">
        <w:rPr>
          <w:rStyle w:val="ac"/>
          <w:rFonts w:cs="Arial"/>
        </w:rPr>
        <w:footnoteReference w:id="195"/>
      </w:r>
      <w:r>
        <w:t>。特に、障害のある人が質の高い、</w:t>
      </w:r>
      <w:r w:rsidR="00274DCA">
        <w:rPr>
          <w:rFonts w:hint="eastAsia"/>
        </w:rPr>
        <w:t>相当</w:t>
      </w:r>
      <w:r>
        <w:t>で、受け入れられ、適応可能な社会</w:t>
      </w:r>
      <w:r w:rsidR="00274DCA">
        <w:rPr>
          <w:rFonts w:hint="eastAsia"/>
        </w:rPr>
        <w:t>的保障</w:t>
      </w:r>
      <w:r>
        <w:t>プログラム</w:t>
      </w:r>
      <w:r w:rsidR="0082286D">
        <w:rPr>
          <w:rStyle w:val="ac"/>
          <w:rFonts w:cs="Arial"/>
          <w:lang w:val="en-GB"/>
        </w:rPr>
        <w:footnoteReference w:id="196"/>
      </w:r>
      <w:r>
        <w:t>へのアクセスを確保する義務は、</w:t>
      </w:r>
      <w:r w:rsidR="00274DCA">
        <w:rPr>
          <w:rFonts w:hint="eastAsia"/>
        </w:rPr>
        <w:t>（批准後）</w:t>
      </w:r>
      <w:r>
        <w:t>即座に</w:t>
      </w:r>
      <w:r w:rsidR="00274DCA">
        <w:rPr>
          <w:rFonts w:hint="eastAsia"/>
        </w:rPr>
        <w:t>発生する</w:t>
      </w:r>
      <w:r>
        <w:t>ことに留意した</w:t>
      </w:r>
      <w:r w:rsidR="0082286D">
        <w:rPr>
          <w:rStyle w:val="ac"/>
          <w:rFonts w:cs="Arial"/>
          <w:lang w:val="en-GB"/>
        </w:rPr>
        <w:footnoteReference w:id="197"/>
      </w:r>
      <w:r>
        <w:t>。社会保障の</w:t>
      </w:r>
      <w:r w:rsidR="00274DCA">
        <w:rPr>
          <w:rFonts w:hint="eastAsia"/>
        </w:rPr>
        <w:t>受給</w:t>
      </w:r>
      <w:r>
        <w:t>者の労働市場への</w:t>
      </w:r>
      <w:r w:rsidR="00274DCA">
        <w:rPr>
          <w:rFonts w:hint="eastAsia"/>
        </w:rPr>
        <w:t>参加</w:t>
      </w:r>
      <w:r>
        <w:t>促進を目的とする措置には、賃金が一定の</w:t>
      </w:r>
      <w:r w:rsidR="00274DCA">
        <w:rPr>
          <w:rFonts w:hint="eastAsia"/>
        </w:rPr>
        <w:t>基準</w:t>
      </w:r>
      <w:r>
        <w:t>値</w:t>
      </w:r>
      <w:r w:rsidR="00274DCA">
        <w:rPr>
          <w:rFonts w:hint="eastAsia"/>
        </w:rPr>
        <w:t>に達し安定するまでの</w:t>
      </w:r>
      <w:r>
        <w:t>所得保護を確保するための移行措置が含まれるべきであり、</w:t>
      </w:r>
      <w:r w:rsidR="00274DCA">
        <w:rPr>
          <w:rFonts w:hint="eastAsia"/>
        </w:rPr>
        <w:t>また、</w:t>
      </w:r>
      <w:r w:rsidR="00274DCA">
        <w:t>仕事を失</w:t>
      </w:r>
      <w:r w:rsidR="00274DCA">
        <w:rPr>
          <w:rFonts w:hint="eastAsia"/>
        </w:rPr>
        <w:t>った時には</w:t>
      </w:r>
      <w:r>
        <w:t>遅滞なく再び</w:t>
      </w:r>
      <w:r w:rsidR="00274DCA">
        <w:rPr>
          <w:rFonts w:hint="eastAsia"/>
        </w:rPr>
        <w:t>受給資格をもつ</w:t>
      </w:r>
      <w:r>
        <w:t>べきであると強調した</w:t>
      </w:r>
      <w:r w:rsidR="0082286D">
        <w:rPr>
          <w:rStyle w:val="ac"/>
          <w:rFonts w:cs="Arial"/>
          <w:lang w:val="en-GB"/>
        </w:rPr>
        <w:footnoteReference w:id="198"/>
      </w:r>
      <w:r>
        <w:t>。福祉制度</w:t>
      </w:r>
      <w:r w:rsidR="00274DCA">
        <w:t>改革</w:t>
      </w:r>
      <w:r>
        <w:t>および緊縮措置は、</w:t>
      </w:r>
      <w:r w:rsidR="00274DCA">
        <w:rPr>
          <w:rFonts w:hint="eastAsia"/>
        </w:rPr>
        <w:t>障害のある人</w:t>
      </w:r>
      <w:r>
        <w:rPr>
          <w:rFonts w:hint="eastAsia"/>
        </w:rPr>
        <w:t>の権利に不釣り合い</w:t>
      </w:r>
      <w:r w:rsidR="00274DCA">
        <w:rPr>
          <w:rFonts w:hint="eastAsia"/>
        </w:rPr>
        <w:t>な、ま</w:t>
      </w:r>
      <w:r>
        <w:t>たは悪</w:t>
      </w:r>
      <w:r w:rsidR="00274DCA">
        <w:rPr>
          <w:rFonts w:hint="eastAsia"/>
        </w:rPr>
        <w:t>い</w:t>
      </w:r>
      <w:r>
        <w:t>影響を与えてはならない</w:t>
      </w:r>
      <w:r w:rsidR="0082286D">
        <w:rPr>
          <w:rStyle w:val="ac"/>
          <w:rFonts w:cs="Arial"/>
          <w:lang w:val="en-GB"/>
        </w:rPr>
        <w:footnoteReference w:id="199"/>
      </w:r>
      <w:r>
        <w:t>。</w:t>
      </w:r>
    </w:p>
    <w:p w:rsidR="00F87D84" w:rsidRDefault="00F87D84" w:rsidP="00AF1B71"/>
    <w:p w:rsidR="00AF1B71" w:rsidRDefault="00AF1B71" w:rsidP="00AF1B71">
      <w:r>
        <w:t>71.</w:t>
      </w:r>
      <w:r w:rsidR="00744D33">
        <w:t xml:space="preserve"> </w:t>
      </w:r>
      <w:r>
        <w:t>委員会は、</w:t>
      </w:r>
      <w:r w:rsidR="00274DCA">
        <w:rPr>
          <w:rFonts w:hint="eastAsia"/>
        </w:rPr>
        <w:t>総括所見</w:t>
      </w:r>
      <w:r>
        <w:t>において、</w:t>
      </w:r>
      <w:r w:rsidR="00274DCA">
        <w:rPr>
          <w:rFonts w:hint="eastAsia"/>
        </w:rPr>
        <w:t>当該</w:t>
      </w:r>
      <w:r>
        <w:t>締約国の福祉制度を反映した非常に具体的な勧告を</w:t>
      </w:r>
      <w:r w:rsidR="00274DCA">
        <w:rPr>
          <w:rFonts w:hint="eastAsia"/>
        </w:rPr>
        <w:t>行った。</w:t>
      </w:r>
      <w:r>
        <w:t>たとえば、社会保障支援を受けるための申請と</w:t>
      </w:r>
      <w:r w:rsidR="00274DCA">
        <w:rPr>
          <w:rFonts w:hint="eastAsia"/>
        </w:rPr>
        <w:t>受給資格</w:t>
      </w:r>
      <w:r>
        <w:t>に関する家族ベースの評価を個人ベースの評価に置き換え</w:t>
      </w:r>
      <w:r w:rsidR="0082286D">
        <w:rPr>
          <w:rStyle w:val="ac"/>
          <w:rFonts w:cs="Arial"/>
          <w:lang w:val="en-GB"/>
        </w:rPr>
        <w:footnoteReference w:id="200"/>
      </w:r>
      <w:r>
        <w:t>、</w:t>
      </w:r>
      <w:r w:rsidR="00274DCA">
        <w:rPr>
          <w:rFonts w:hint="eastAsia"/>
        </w:rPr>
        <w:t>機能</w:t>
      </w:r>
      <w:r>
        <w:t>障害の原因（戦争関連</w:t>
      </w:r>
      <w:r w:rsidR="00274DCA">
        <w:rPr>
          <w:rFonts w:hint="eastAsia"/>
        </w:rPr>
        <w:t>障害とその他の</w:t>
      </w:r>
      <w:r>
        <w:t>障害）に基づく差別的基準を</w:t>
      </w:r>
      <w:r w:rsidR="00274DCA">
        <w:rPr>
          <w:rFonts w:hint="eastAsia"/>
        </w:rPr>
        <w:t>廃止す</w:t>
      </w:r>
      <w:r>
        <w:t>ることを</w:t>
      </w:r>
      <w:r w:rsidR="00274DCA">
        <w:rPr>
          <w:rFonts w:hint="eastAsia"/>
        </w:rPr>
        <w:t>勧告</w:t>
      </w:r>
      <w:r w:rsidR="003F6448">
        <w:t>した</w:t>
      </w:r>
      <w:r w:rsidR="0082286D">
        <w:rPr>
          <w:rStyle w:val="ac"/>
          <w:rFonts w:cs="Arial"/>
          <w:lang w:val="en-GB"/>
        </w:rPr>
        <w:footnoteReference w:id="201"/>
      </w:r>
      <w:r>
        <w:t>。</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00274DCA">
        <w:rPr>
          <w:rFonts w:ascii="ＭＳ ゴシック" w:eastAsia="ＭＳ ゴシック" w:hAnsi="ＭＳ ゴシック" w:hint="eastAsia"/>
          <w:b/>
          <w:bCs/>
        </w:rPr>
        <w:t>司法</w:t>
      </w:r>
      <w:r w:rsidRPr="00FF6309">
        <w:rPr>
          <w:rFonts w:ascii="ＭＳ ゴシック" w:eastAsia="ＭＳ ゴシック" w:hAnsi="ＭＳ ゴシック"/>
          <w:b/>
          <w:bCs/>
        </w:rPr>
        <w:t>と手続き上の</w:t>
      </w:r>
      <w:r w:rsidR="00274DCA">
        <w:rPr>
          <w:rFonts w:ascii="ＭＳ ゴシック" w:eastAsia="ＭＳ ゴシック" w:hAnsi="ＭＳ ゴシック" w:hint="eastAsia"/>
          <w:b/>
          <w:bCs/>
        </w:rPr>
        <w:t>配慮</w:t>
      </w:r>
      <w:r w:rsidRPr="00FF6309">
        <w:rPr>
          <w:rFonts w:ascii="ＭＳ ゴシック" w:eastAsia="ＭＳ ゴシック" w:hAnsi="ＭＳ ゴシック"/>
          <w:b/>
          <w:bCs/>
        </w:rPr>
        <w:t>へのアクセス（第13条）</w:t>
      </w:r>
    </w:p>
    <w:p w:rsidR="00F87D84" w:rsidRDefault="00F87D84" w:rsidP="00AF1B71"/>
    <w:p w:rsidR="00AF1B71" w:rsidRDefault="00AF1B71" w:rsidP="00AF1B71">
      <w:r w:rsidRPr="00C433F7">
        <w:t>72.</w:t>
      </w:r>
      <w:r w:rsidR="00744D33" w:rsidRPr="00C433F7">
        <w:t xml:space="preserve"> </w:t>
      </w:r>
      <w:r w:rsidRPr="00C433F7">
        <w:t>締約国は、障害</w:t>
      </w:r>
      <w:r w:rsidR="00274DCA">
        <w:rPr>
          <w:rFonts w:hint="eastAsia"/>
        </w:rPr>
        <w:t>のある人</w:t>
      </w:r>
      <w:r>
        <w:t>が他者と平等に司法にアクセスできるようにする義務を負っている。委員会は、一般的な意見の6つのうち5つ</w:t>
      </w:r>
      <w:r w:rsidR="00C433F7">
        <w:rPr>
          <w:rStyle w:val="ac"/>
          <w:rFonts w:cs="Arial"/>
        </w:rPr>
        <w:footnoteReference w:id="202"/>
      </w:r>
      <w:r>
        <w:t>、</w:t>
      </w:r>
      <w:r w:rsidR="00274DCA">
        <w:rPr>
          <w:rFonts w:hint="eastAsia"/>
        </w:rPr>
        <w:t>通報</w:t>
      </w:r>
      <w:r>
        <w:t>に関する5つの見解</w:t>
      </w:r>
      <w:r w:rsidR="00C433F7">
        <w:rPr>
          <w:rStyle w:val="ac"/>
          <w:rFonts w:cs="Arial"/>
        </w:rPr>
        <w:footnoteReference w:id="203"/>
      </w:r>
      <w:r>
        <w:t>、および</w:t>
      </w:r>
      <w:r w:rsidR="00274DCA">
        <w:rPr>
          <w:rFonts w:hint="eastAsia"/>
        </w:rPr>
        <w:t>多くの総括所見の</w:t>
      </w:r>
      <w:r>
        <w:t>条約第13条</w:t>
      </w:r>
      <w:r w:rsidR="00274DCA">
        <w:rPr>
          <w:rFonts w:hint="eastAsia"/>
        </w:rPr>
        <w:t>の下で、</w:t>
      </w:r>
      <w:r>
        <w:t>この義務に言及した。</w:t>
      </w:r>
    </w:p>
    <w:p w:rsidR="00F87D84" w:rsidRDefault="00F87D84" w:rsidP="00AF1B71"/>
    <w:p w:rsidR="00AF1B71" w:rsidRDefault="00AF1B71" w:rsidP="00AF1B71">
      <w:r>
        <w:t>73.</w:t>
      </w:r>
      <w:r w:rsidR="00744D33">
        <w:t xml:space="preserve"> </w:t>
      </w:r>
      <w:r>
        <w:t>委員会は、司法へのアクセスには、アクセシビリティ、手続き的</w:t>
      </w:r>
      <w:r w:rsidR="00274DCA">
        <w:rPr>
          <w:rFonts w:hint="eastAsia"/>
        </w:rPr>
        <w:t>配慮および</w:t>
      </w:r>
      <w:r>
        <w:t>合理的配慮</w:t>
      </w:r>
      <w:r w:rsidR="00C433F7">
        <w:rPr>
          <w:rStyle w:val="ac"/>
          <w:rFonts w:cs="Arial"/>
        </w:rPr>
        <w:footnoteReference w:id="204"/>
      </w:r>
      <w:r>
        <w:t>、および法的能力の権利（第12条）</w:t>
      </w:r>
      <w:r w:rsidR="00C433F7">
        <w:rPr>
          <w:rStyle w:val="ac"/>
          <w:rFonts w:cs="Arial"/>
        </w:rPr>
        <w:footnoteReference w:id="205"/>
      </w:r>
      <w:r>
        <w:t>の確保が不可欠であると強調した。一般</w:t>
      </w:r>
      <w:r w:rsidR="00274DCA">
        <w:rPr>
          <w:rFonts w:hint="eastAsia"/>
        </w:rPr>
        <w:t>的意見No.</w:t>
      </w:r>
      <w:r>
        <w:t>1では、締約国は、法的能力</w:t>
      </w:r>
      <w:r w:rsidR="00274DCA">
        <w:rPr>
          <w:rFonts w:hint="eastAsia"/>
        </w:rPr>
        <w:t>を</w:t>
      </w:r>
      <w:r>
        <w:t>認識</w:t>
      </w:r>
      <w:r w:rsidR="00274DCA">
        <w:rPr>
          <w:rFonts w:hint="eastAsia"/>
        </w:rPr>
        <w:t>すること</w:t>
      </w:r>
      <w:r>
        <w:t>を超えて、障害のある人が法的代理人</w:t>
      </w:r>
      <w:r w:rsidR="00C433F7">
        <w:rPr>
          <w:rStyle w:val="ac"/>
          <w:rFonts w:cs="Arial"/>
        </w:rPr>
        <w:footnoteReference w:id="206"/>
      </w:r>
      <w:r>
        <w:t>にアクセスできるようにし、彼らの</w:t>
      </w:r>
      <w:r w:rsidR="00274DCA">
        <w:rPr>
          <w:rFonts w:hint="eastAsia"/>
        </w:rPr>
        <w:t>訴えと意見</w:t>
      </w:r>
      <w:r>
        <w:t>が警察官、ソーシャルワーカーおよび他の最初</w:t>
      </w:r>
      <w:r w:rsidR="00274DCA">
        <w:rPr>
          <w:rFonts w:hint="eastAsia"/>
        </w:rPr>
        <w:t>に対応する人々によって、障害のない人と同じに重んじられる</w:t>
      </w:r>
      <w:r>
        <w:t>ことを保証しなければならない</w:t>
      </w:r>
      <w:r w:rsidR="00274DCA">
        <w:rPr>
          <w:rFonts w:hint="eastAsia"/>
        </w:rPr>
        <w:t>と</w:t>
      </w:r>
      <w:r>
        <w:t>留意した</w:t>
      </w:r>
      <w:r w:rsidR="00C433F7">
        <w:rPr>
          <w:rStyle w:val="ac"/>
          <w:rFonts w:cs="Arial"/>
        </w:rPr>
        <w:footnoteReference w:id="207"/>
      </w:r>
      <w:r>
        <w:t>。</w:t>
      </w:r>
      <w:r w:rsidR="00274DCA">
        <w:rPr>
          <w:rFonts w:hint="eastAsia"/>
        </w:rPr>
        <w:t>通報</w:t>
      </w:r>
      <w:r>
        <w:t>ノーブル</w:t>
      </w:r>
      <w:r w:rsidR="00274DCA">
        <w:rPr>
          <w:rFonts w:hint="eastAsia"/>
        </w:rPr>
        <w:t>対</w:t>
      </w:r>
      <w:r>
        <w:t>オーストラリア（CRPD/C/16/D/ 7/2012）に関する見解では、委員会は</w:t>
      </w:r>
      <w:r>
        <w:rPr>
          <w:rFonts w:hint="eastAsia"/>
        </w:rPr>
        <w:t>、知的障害</w:t>
      </w:r>
      <w:r w:rsidR="00274DCA">
        <w:rPr>
          <w:rFonts w:hint="eastAsia"/>
        </w:rPr>
        <w:t>を理由に被告を</w:t>
      </w:r>
      <w:r>
        <w:rPr>
          <w:rFonts w:hint="eastAsia"/>
        </w:rPr>
        <w:t>裁判で</w:t>
      </w:r>
      <w:r w:rsidR="00274DCA">
        <w:rPr>
          <w:rFonts w:hint="eastAsia"/>
        </w:rPr>
        <w:t>の弁論</w:t>
      </w:r>
      <w:r>
        <w:rPr>
          <w:rFonts w:hint="eastAsia"/>
        </w:rPr>
        <w:t>「不適格」と宣言</w:t>
      </w:r>
      <w:r w:rsidR="00274DCA">
        <w:rPr>
          <w:rFonts w:hint="eastAsia"/>
        </w:rPr>
        <w:t>した</w:t>
      </w:r>
      <w:r>
        <w:rPr>
          <w:rFonts w:hint="eastAsia"/>
        </w:rPr>
        <w:t>締約国の決定</w:t>
      </w:r>
      <w:r w:rsidR="00274DCA">
        <w:rPr>
          <w:rFonts w:hint="eastAsia"/>
        </w:rPr>
        <w:t>、</w:t>
      </w:r>
      <w:r>
        <w:rPr>
          <w:rFonts w:hint="eastAsia"/>
        </w:rPr>
        <w:t>そして、彼の法的能力を行使するための支援や配慮の欠如</w:t>
      </w:r>
      <w:r w:rsidR="00C433F7">
        <w:rPr>
          <w:rStyle w:val="ac"/>
          <w:rFonts w:cs="Arial"/>
          <w:lang w:val="en-GB"/>
        </w:rPr>
        <w:footnoteReference w:id="208"/>
      </w:r>
      <w:r>
        <w:rPr>
          <w:rFonts w:hint="eastAsia"/>
        </w:rPr>
        <w:t>は、第</w:t>
      </w:r>
      <w:r>
        <w:t>13条違反</w:t>
      </w:r>
      <w:r w:rsidR="00274DCA">
        <w:rPr>
          <w:rFonts w:hint="eastAsia"/>
        </w:rPr>
        <w:t>である</w:t>
      </w:r>
      <w:r>
        <w:t>と</w:t>
      </w:r>
      <w:r w:rsidR="00274DCA">
        <w:rPr>
          <w:rFonts w:hint="eastAsia"/>
        </w:rPr>
        <w:t>した。</w:t>
      </w:r>
    </w:p>
    <w:p w:rsidR="00720EAA" w:rsidRDefault="00720EAA" w:rsidP="00AF1B71"/>
    <w:p w:rsidR="00AF1B71" w:rsidRDefault="00AF1B71" w:rsidP="00AF1B71">
      <w:r>
        <w:t>74.</w:t>
      </w:r>
      <w:r w:rsidR="00744D33">
        <w:t xml:space="preserve"> </w:t>
      </w:r>
      <w:r>
        <w:t>委員会は、合理的</w:t>
      </w:r>
      <w:r w:rsidR="00274DCA">
        <w:rPr>
          <w:rFonts w:hint="eastAsia"/>
        </w:rPr>
        <w:t>配慮</w:t>
      </w:r>
      <w:r>
        <w:t>と手続き的</w:t>
      </w:r>
      <w:r w:rsidR="00274DCA">
        <w:rPr>
          <w:rFonts w:hint="eastAsia"/>
        </w:rPr>
        <w:t>配慮</w:t>
      </w:r>
      <w:r>
        <w:t>の区別を強調した</w:t>
      </w:r>
      <w:r w:rsidR="00C433F7">
        <w:rPr>
          <w:rStyle w:val="ac"/>
          <w:rFonts w:cs="Arial"/>
        </w:rPr>
        <w:footnoteReference w:id="209"/>
      </w:r>
      <w:r>
        <w:t>。合理的</w:t>
      </w:r>
      <w:r w:rsidR="00274DCA">
        <w:rPr>
          <w:rFonts w:hint="eastAsia"/>
        </w:rPr>
        <w:t>配慮</w:t>
      </w:r>
      <w:r>
        <w:t>とは反対に、手続き的</w:t>
      </w:r>
      <w:r w:rsidR="00274DCA">
        <w:rPr>
          <w:rFonts w:hint="eastAsia"/>
        </w:rPr>
        <w:t>配慮</w:t>
      </w:r>
      <w:r>
        <w:t>と年齢に適した</w:t>
      </w:r>
      <w:r w:rsidR="00274DCA">
        <w:rPr>
          <w:rFonts w:hint="eastAsia"/>
        </w:rPr>
        <w:t>配慮</w:t>
      </w:r>
      <w:r>
        <w:t>は、</w:t>
      </w:r>
      <w:r w:rsidR="00274DCA">
        <w:rPr>
          <w:rFonts w:hint="eastAsia"/>
        </w:rPr>
        <w:t>対応措置</w:t>
      </w:r>
      <w:r>
        <w:t>の</w:t>
      </w:r>
      <w:r w:rsidR="00274DCA">
        <w:rPr>
          <w:rFonts w:hint="eastAsia"/>
        </w:rPr>
        <w:t>釣り合いの制約を受けない</w:t>
      </w:r>
      <w:r w:rsidR="00C433F7">
        <w:rPr>
          <w:rStyle w:val="ac"/>
          <w:rFonts w:cs="Arial"/>
        </w:rPr>
        <w:footnoteReference w:id="210"/>
      </w:r>
      <w:r w:rsidR="00274DCA">
        <w:rPr>
          <w:rFonts w:hint="eastAsia"/>
        </w:rPr>
        <w:t>。</w:t>
      </w:r>
      <w:r>
        <w:t>締約国は、</w:t>
      </w:r>
      <w:r w:rsidR="00274DCA">
        <w:t>障害のある人</w:t>
      </w:r>
      <w:r>
        <w:t>が司法制度に完全にアクセスできるように、アクセシビリティ、手続き上の配慮、合理的配慮</w:t>
      </w:r>
      <w:r w:rsidR="00C433F7">
        <w:rPr>
          <w:rStyle w:val="ac"/>
          <w:rFonts w:cs="Arial"/>
        </w:rPr>
        <w:footnoteReference w:id="211"/>
      </w:r>
      <w:r>
        <w:t>、その他の支援を確保しなければな</w:t>
      </w:r>
      <w:r w:rsidR="00274DCA">
        <w:rPr>
          <w:rFonts w:hint="eastAsia"/>
        </w:rPr>
        <w:t>らない</w:t>
      </w:r>
      <w:r>
        <w:t>。手続き的配慮には、多様なコミュニケーション方法</w:t>
      </w:r>
      <w:r w:rsidR="00274DCA">
        <w:rPr>
          <w:rFonts w:hint="eastAsia"/>
        </w:rPr>
        <w:t>を</w:t>
      </w:r>
      <w:r>
        <w:t>認識</w:t>
      </w:r>
      <w:r w:rsidR="00274DCA">
        <w:rPr>
          <w:rFonts w:hint="eastAsia"/>
        </w:rPr>
        <w:t>し</w:t>
      </w:r>
      <w:r>
        <w:t>、特定の状況でのビデオによる証言を可能にし、プロの</w:t>
      </w:r>
      <w:r w:rsidR="001F09C4">
        <w:t>手話言語</w:t>
      </w:r>
      <w:r>
        <w:t>通訳や他の支援方法を提供することが</w:t>
      </w:r>
      <w:r w:rsidR="00274DCA">
        <w:rPr>
          <w:rFonts w:hint="eastAsia"/>
        </w:rPr>
        <w:t>含まれる</w:t>
      </w:r>
      <w:r w:rsidR="00C433F7">
        <w:rPr>
          <w:rStyle w:val="ac"/>
          <w:rFonts w:cs="Arial"/>
        </w:rPr>
        <w:footnoteReference w:id="212"/>
      </w:r>
      <w:r>
        <w:t>。その</w:t>
      </w:r>
      <w:r w:rsidR="00352327">
        <w:rPr>
          <w:rFonts w:hint="eastAsia"/>
        </w:rPr>
        <w:t>判定</w:t>
      </w:r>
      <w:r>
        <w:t>において委員会は、締約国が</w:t>
      </w:r>
      <w:r w:rsidR="00274DCA">
        <w:rPr>
          <w:rFonts w:hint="eastAsia"/>
        </w:rPr>
        <w:t>陪審員</w:t>
      </w:r>
      <w:r>
        <w:t>として召喚さ</w:t>
      </w:r>
      <w:r>
        <w:rPr>
          <w:rFonts w:hint="eastAsia"/>
        </w:rPr>
        <w:t>れたろう者に</w:t>
      </w:r>
      <w:r w:rsidR="001F09C4">
        <w:rPr>
          <w:rFonts w:hint="eastAsia"/>
        </w:rPr>
        <w:t>手話言語</w:t>
      </w:r>
      <w:r>
        <w:rPr>
          <w:rFonts w:hint="eastAsia"/>
        </w:rPr>
        <w:t>通訳</w:t>
      </w:r>
      <w:r w:rsidR="00C433F7">
        <w:rPr>
          <w:rStyle w:val="ac"/>
          <w:rFonts w:cs="Arial"/>
        </w:rPr>
        <w:footnoteReference w:id="213"/>
      </w:r>
      <w:r>
        <w:rPr>
          <w:rFonts w:hint="eastAsia"/>
        </w:rPr>
        <w:t>とリアルタイム</w:t>
      </w:r>
      <w:r w:rsidR="00274DCA">
        <w:rPr>
          <w:rFonts w:hint="eastAsia"/>
        </w:rPr>
        <w:t>字幕</w:t>
      </w:r>
      <w:r w:rsidR="00C433F7">
        <w:rPr>
          <w:rStyle w:val="ac"/>
          <w:rFonts w:cs="Arial"/>
        </w:rPr>
        <w:footnoteReference w:id="214"/>
      </w:r>
      <w:r>
        <w:rPr>
          <w:rFonts w:hint="eastAsia"/>
        </w:rPr>
        <w:t>を提供しなかったことを非難</w:t>
      </w:r>
      <w:r w:rsidR="003F6448">
        <w:rPr>
          <w:rFonts w:hint="eastAsia"/>
        </w:rPr>
        <w:t>した</w:t>
      </w:r>
      <w:r>
        <w:rPr>
          <w:rFonts w:hint="eastAsia"/>
        </w:rPr>
        <w:t>。</w:t>
      </w:r>
    </w:p>
    <w:p w:rsidR="00720EAA" w:rsidRDefault="00720EAA"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iii</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00274DCA">
        <w:rPr>
          <w:rFonts w:ascii="ＭＳ ゴシック" w:eastAsia="ＭＳ ゴシック" w:hAnsi="ＭＳ ゴシック" w:hint="eastAsia"/>
          <w:b/>
          <w:bCs/>
        </w:rPr>
        <w:t>身体の</w:t>
      </w:r>
      <w:r w:rsidRPr="00FF6309">
        <w:rPr>
          <w:rFonts w:ascii="ＭＳ ゴシック" w:eastAsia="ＭＳ ゴシック" w:hAnsi="ＭＳ ゴシック"/>
          <w:b/>
          <w:bCs/>
        </w:rPr>
        <w:t>自由と安全</w:t>
      </w:r>
      <w:r w:rsidR="00352327">
        <w:rPr>
          <w:rFonts w:ascii="ＭＳ ゴシック" w:eastAsia="ＭＳ ゴシック" w:hAnsi="ＭＳ ゴシック" w:hint="eastAsia"/>
          <w:b/>
          <w:bCs/>
        </w:rPr>
        <w:t>の</w:t>
      </w:r>
      <w:r w:rsidRPr="00FF6309">
        <w:rPr>
          <w:rFonts w:ascii="ＭＳ ゴシック" w:eastAsia="ＭＳ ゴシック" w:hAnsi="ＭＳ ゴシック"/>
          <w:b/>
          <w:bCs/>
        </w:rPr>
        <w:t>権利（第14条）および自立生活</w:t>
      </w:r>
      <w:r w:rsidR="00274DCA">
        <w:rPr>
          <w:rFonts w:ascii="ＭＳ ゴシック" w:eastAsia="ＭＳ ゴシック" w:hAnsi="ＭＳ ゴシック" w:hint="eastAsia"/>
          <w:b/>
          <w:bCs/>
        </w:rPr>
        <w:t>および地域社会へのインクルージョン</w:t>
      </w:r>
      <w:r w:rsidR="00352327">
        <w:rPr>
          <w:rFonts w:ascii="ＭＳ ゴシック" w:eastAsia="ＭＳ ゴシック" w:hAnsi="ＭＳ ゴシック" w:hint="eastAsia"/>
          <w:b/>
          <w:bCs/>
        </w:rPr>
        <w:t>の権利</w:t>
      </w:r>
      <w:r w:rsidRPr="00FF6309">
        <w:rPr>
          <w:rFonts w:ascii="ＭＳ ゴシック" w:eastAsia="ＭＳ ゴシック" w:hAnsi="ＭＳ ゴシック"/>
          <w:b/>
          <w:bCs/>
        </w:rPr>
        <w:t>（第19条）：脱施設への道</w:t>
      </w:r>
    </w:p>
    <w:p w:rsidR="00720EAA" w:rsidRDefault="00720EAA" w:rsidP="00AF1B71"/>
    <w:p w:rsidR="00AF1B71" w:rsidRDefault="00AF1B71" w:rsidP="00AF1B71">
      <w:r w:rsidRPr="00274DCA">
        <w:t>75.</w:t>
      </w:r>
      <w:r w:rsidR="00744D33" w:rsidRPr="00274DCA">
        <w:t xml:space="preserve"> </w:t>
      </w:r>
      <w:r w:rsidRPr="00274DCA">
        <w:t>すべての</w:t>
      </w:r>
      <w:r w:rsidR="00274DCA" w:rsidRPr="00274DCA">
        <w:t>障害のある人</w:t>
      </w:r>
      <w:r w:rsidRPr="00274DCA">
        <w:t>、</w:t>
      </w:r>
      <w:r>
        <w:t>特に知的</w:t>
      </w:r>
      <w:r w:rsidR="00274DCA">
        <w:t>障害のある人</w:t>
      </w:r>
      <w:r>
        <w:t>および心理社会的</w:t>
      </w:r>
      <w:r w:rsidR="00274DCA">
        <w:t>障害のある人</w:t>
      </w:r>
      <w:r>
        <w:t>は、条約第14条に従って</w:t>
      </w:r>
      <w:r w:rsidR="00274DCA">
        <w:rPr>
          <w:rFonts w:hint="eastAsia"/>
        </w:rPr>
        <w:t>身体の</w:t>
      </w:r>
      <w:r>
        <w:t>自由と安全の権利を有する。自由の権利は、誰もが権利を有する最も貴重な権利の1つ</w:t>
      </w:r>
      <w:r w:rsidR="003F6448">
        <w:t>である</w:t>
      </w:r>
      <w:r w:rsidR="00C433F7">
        <w:rPr>
          <w:rStyle w:val="ac"/>
          <w:rFonts w:cs="Arial"/>
          <w:lang w:val="en-GB"/>
        </w:rPr>
        <w:footnoteReference w:id="215"/>
      </w:r>
      <w:r>
        <w:t>。委員会は、2014年に提出された第14条（CRPD/C/12/2、附属書IV）の声明および2015年に採択された</w:t>
      </w:r>
      <w:r w:rsidR="00274DCA">
        <w:t>障害のある人</w:t>
      </w:r>
      <w:r>
        <w:t>の自由と安全の権利に関するガイドライン（A/7255附属書）でその重要性を確認</w:t>
      </w:r>
      <w:r w:rsidR="003F6448">
        <w:t>した</w:t>
      </w:r>
      <w:r>
        <w:t>。これらの文書において、委員会は、自分自身または他者に対する危険</w:t>
      </w:r>
      <w:r w:rsidR="00274DCA">
        <w:rPr>
          <w:rFonts w:hint="eastAsia"/>
        </w:rPr>
        <w:t>を理由にするものを含め</w:t>
      </w:r>
      <w:r>
        <w:t>、実際のまたは知覚された障害に基づい</w:t>
      </w:r>
      <w:r>
        <w:rPr>
          <w:rFonts w:hint="eastAsia"/>
        </w:rPr>
        <w:t>た拘禁の絶対的な禁止を強調した</w:t>
      </w:r>
      <w:r w:rsidR="00C433F7" w:rsidRPr="00500575">
        <w:rPr>
          <w:rStyle w:val="ac"/>
          <w:rFonts w:cs="Arial"/>
        </w:rPr>
        <w:footnoteReference w:id="216"/>
      </w:r>
      <w:r>
        <w:rPr>
          <w:rFonts w:hint="eastAsia"/>
        </w:rPr>
        <w:t>。これには、「裁判に不適格」または司法制度で刑事責任を負</w:t>
      </w:r>
      <w:r w:rsidR="00274DCA">
        <w:rPr>
          <w:rFonts w:hint="eastAsia"/>
        </w:rPr>
        <w:t>う</w:t>
      </w:r>
      <w:r>
        <w:rPr>
          <w:rFonts w:hint="eastAsia"/>
        </w:rPr>
        <w:t>能力</w:t>
      </w:r>
      <w:r w:rsidR="00274DCA">
        <w:rPr>
          <w:rFonts w:hint="eastAsia"/>
        </w:rPr>
        <w:t>欠如</w:t>
      </w:r>
      <w:r>
        <w:rPr>
          <w:rFonts w:hint="eastAsia"/>
        </w:rPr>
        <w:t>の宣言に基づく</w:t>
      </w:r>
      <w:r w:rsidR="00C433F7">
        <w:rPr>
          <w:rFonts w:hint="eastAsia"/>
        </w:rPr>
        <w:t>、精神保健またはその他の種類の施設での</w:t>
      </w:r>
      <w:r>
        <w:rPr>
          <w:rFonts w:hint="eastAsia"/>
        </w:rPr>
        <w:t>拘禁が含まれ</w:t>
      </w:r>
      <w:r w:rsidR="00274DCA">
        <w:rPr>
          <w:rFonts w:hint="eastAsia"/>
        </w:rPr>
        <w:t>る</w:t>
      </w:r>
      <w:r w:rsidR="00C433F7" w:rsidRPr="00500575">
        <w:rPr>
          <w:rStyle w:val="ac"/>
          <w:rFonts w:cs="Arial"/>
        </w:rPr>
        <w:footnoteReference w:id="217"/>
      </w:r>
      <w:r>
        <w:rPr>
          <w:rFonts w:hint="eastAsia"/>
        </w:rPr>
        <w:t>。</w:t>
      </w:r>
      <w:r w:rsidR="00274DCA">
        <w:rPr>
          <w:rFonts w:hint="eastAsia"/>
        </w:rPr>
        <w:t>障害のある人</w:t>
      </w:r>
      <w:r>
        <w:rPr>
          <w:rFonts w:hint="eastAsia"/>
        </w:rPr>
        <w:t>が拘留された場合、締約国は、拘禁場所</w:t>
      </w:r>
      <w:r w:rsidR="00274DCA">
        <w:rPr>
          <w:rFonts w:hint="eastAsia"/>
        </w:rPr>
        <w:t>を</w:t>
      </w:r>
      <w:r>
        <w:rPr>
          <w:rFonts w:hint="eastAsia"/>
        </w:rPr>
        <w:t>アクセ</w:t>
      </w:r>
      <w:r w:rsidR="00274DCA">
        <w:rPr>
          <w:rFonts w:hint="eastAsia"/>
        </w:rPr>
        <w:t>シブルにし</w:t>
      </w:r>
      <w:r>
        <w:rPr>
          <w:rFonts w:hint="eastAsia"/>
        </w:rPr>
        <w:t>、人道的な生活条件</w:t>
      </w:r>
      <w:r w:rsidR="00C433F7" w:rsidRPr="00500575">
        <w:rPr>
          <w:rStyle w:val="ac"/>
          <w:rFonts w:eastAsia="Calibri" w:cs="Times New Roman"/>
          <w:lang w:val="en-GB"/>
        </w:rPr>
        <w:footnoteReference w:id="218"/>
      </w:r>
      <w:r>
        <w:rPr>
          <w:rFonts w:hint="eastAsia"/>
        </w:rPr>
        <w:t>を提供し、その状況の監視と</w:t>
      </w:r>
      <w:r w:rsidR="00274DCA">
        <w:rPr>
          <w:rFonts w:hint="eastAsia"/>
        </w:rPr>
        <w:t>見直し</w:t>
      </w:r>
      <w:r>
        <w:rPr>
          <w:rFonts w:hint="eastAsia"/>
        </w:rPr>
        <w:t>の</w:t>
      </w:r>
      <w:r w:rsidR="00274DCA">
        <w:rPr>
          <w:rFonts w:hint="eastAsia"/>
        </w:rPr>
        <w:t>仕組み</w:t>
      </w:r>
      <w:r>
        <w:rPr>
          <w:rFonts w:hint="eastAsia"/>
        </w:rPr>
        <w:t>を実施しなければな</w:t>
      </w:r>
      <w:r w:rsidR="00274DCA">
        <w:rPr>
          <w:rFonts w:hint="eastAsia"/>
        </w:rPr>
        <w:t>らない</w:t>
      </w:r>
      <w:r w:rsidR="00C433F7" w:rsidRPr="00500575">
        <w:rPr>
          <w:rStyle w:val="ac"/>
          <w:rFonts w:eastAsia="Calibri" w:cs="Times New Roman"/>
          <w:lang w:val="en-GB"/>
        </w:rPr>
        <w:footnoteReference w:id="219"/>
      </w:r>
      <w:r>
        <w:rPr>
          <w:rFonts w:hint="eastAsia"/>
        </w:rPr>
        <w:t>。</w:t>
      </w:r>
    </w:p>
    <w:p w:rsidR="00720EAA" w:rsidRDefault="00720EAA" w:rsidP="00AF1B71"/>
    <w:p w:rsidR="00AF1B71" w:rsidRDefault="00AF1B71" w:rsidP="00AF1B71">
      <w:r w:rsidRPr="006F35FC">
        <w:t>76.</w:t>
      </w:r>
      <w:r w:rsidR="00744D33" w:rsidRPr="006F35FC">
        <w:t xml:space="preserve"> </w:t>
      </w:r>
      <w:r w:rsidR="006F35FC">
        <w:rPr>
          <w:rFonts w:hint="eastAsia"/>
        </w:rPr>
        <w:t>施設</w:t>
      </w:r>
      <w:r w:rsidRPr="006F35FC">
        <w:t>化に関して委員会</w:t>
      </w:r>
      <w:r>
        <w:t>は、</w:t>
      </w:r>
      <w:r w:rsidR="006F35FC">
        <w:rPr>
          <w:rFonts w:hint="eastAsia"/>
        </w:rPr>
        <w:t>身体の</w:t>
      </w:r>
      <w:r>
        <w:t>自由の権利と</w:t>
      </w:r>
      <w:r w:rsidR="006F35FC">
        <w:t>条約第19条に</w:t>
      </w:r>
      <w:r w:rsidR="006F35FC">
        <w:rPr>
          <w:rFonts w:hint="eastAsia"/>
        </w:rPr>
        <w:t>うた</w:t>
      </w:r>
      <w:r w:rsidR="006F35FC">
        <w:t>われている</w:t>
      </w:r>
      <w:r w:rsidR="006F35FC">
        <w:rPr>
          <w:rFonts w:hint="eastAsia"/>
        </w:rPr>
        <w:t>自立生活および地域社会へのインクルージョンの</w:t>
      </w:r>
      <w:r>
        <w:t>権利との関係を強調した</w:t>
      </w:r>
      <w:r w:rsidR="009935D0" w:rsidRPr="00500575">
        <w:rPr>
          <w:rStyle w:val="ac"/>
          <w:rFonts w:cs="Arial"/>
        </w:rPr>
        <w:footnoteReference w:id="220"/>
      </w:r>
      <w:r>
        <w:t>。締約国の定期的な</w:t>
      </w:r>
      <w:r w:rsidR="006F35FC">
        <w:rPr>
          <w:rFonts w:hint="eastAsia"/>
        </w:rPr>
        <w:t>審査の中で、</w:t>
      </w:r>
      <w:r w:rsidR="00274DCA">
        <w:t>障害のある人</w:t>
      </w:r>
      <w:r>
        <w:t>の施設収容に関する強い懸念を表明し、各国に</w:t>
      </w:r>
      <w:r w:rsidR="006F35FC">
        <w:rPr>
          <w:rFonts w:hint="eastAsia"/>
        </w:rPr>
        <w:t>脱</w:t>
      </w:r>
      <w:r>
        <w:t>施設</w:t>
      </w:r>
      <w:r w:rsidR="006F35FC">
        <w:rPr>
          <w:rFonts w:hint="eastAsia"/>
        </w:rPr>
        <w:t>化</w:t>
      </w:r>
      <w:r>
        <w:t>戦略とプログラムを採用するよう要請した（主に第14条に基づく勧告で）。 2017年に採択された</w:t>
      </w:r>
      <w:r w:rsidR="006F35FC">
        <w:rPr>
          <w:rFonts w:hint="eastAsia"/>
        </w:rPr>
        <w:t>自立生活および地域社会へのインクルージョンに</w:t>
      </w:r>
      <w:r>
        <w:t>関する</w:t>
      </w:r>
      <w:r w:rsidR="00B61E9E">
        <w:t>一般的意見</w:t>
      </w:r>
      <w:r>
        <w:t>No. 5で、委員会は施設</w:t>
      </w:r>
      <w:r w:rsidR="006F35FC">
        <w:rPr>
          <w:rFonts w:hint="eastAsia"/>
        </w:rPr>
        <w:t>的な場</w:t>
      </w:r>
      <w:r w:rsidR="009935D0" w:rsidRPr="00500575">
        <w:rPr>
          <w:rStyle w:val="ac"/>
          <w:rFonts w:cs="Arial"/>
        </w:rPr>
        <w:footnoteReference w:id="221"/>
      </w:r>
      <w:r>
        <w:t>を定義し、脱施設化措置には包括的なサービスとコミュニティ開発プログラムを伴う必要があると強調</w:t>
      </w:r>
      <w:r w:rsidR="003F6448">
        <w:t>した</w:t>
      </w:r>
      <w:r w:rsidR="009935D0" w:rsidRPr="00500575">
        <w:rPr>
          <w:rStyle w:val="ac"/>
          <w:rFonts w:cs="Arial"/>
        </w:rPr>
        <w:footnoteReference w:id="222"/>
      </w:r>
      <w:r>
        <w:t>。</w:t>
      </w:r>
    </w:p>
    <w:p w:rsidR="00AF1B71" w:rsidRDefault="00AF1B71" w:rsidP="00AF1B71"/>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iv</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Pr="00FF6309">
        <w:rPr>
          <w:rFonts w:ascii="ＭＳ ゴシック" w:eastAsia="ＭＳ ゴシック" w:hAnsi="ＭＳ ゴシック"/>
          <w:b/>
          <w:bCs/>
        </w:rPr>
        <w:t>法律の前</w:t>
      </w:r>
      <w:r w:rsidR="00352327">
        <w:rPr>
          <w:rFonts w:ascii="ＭＳ ゴシック" w:eastAsia="ＭＳ ゴシック" w:hAnsi="ＭＳ ゴシック" w:hint="eastAsia"/>
          <w:b/>
          <w:bCs/>
        </w:rPr>
        <w:t>で</w:t>
      </w:r>
      <w:r w:rsidRPr="00FF6309">
        <w:rPr>
          <w:rFonts w:ascii="ＭＳ ゴシック" w:eastAsia="ＭＳ ゴシック" w:hAnsi="ＭＳ ゴシック"/>
          <w:b/>
          <w:bCs/>
        </w:rPr>
        <w:t>の平等な認識と</w:t>
      </w:r>
      <w:r w:rsidR="00352327" w:rsidRPr="00FF6309">
        <w:rPr>
          <w:rFonts w:ascii="ＭＳ ゴシック" w:eastAsia="ＭＳ ゴシック" w:hAnsi="ＭＳ ゴシック"/>
          <w:b/>
          <w:bCs/>
        </w:rPr>
        <w:t>支援</w:t>
      </w:r>
      <w:r w:rsidR="00352327">
        <w:rPr>
          <w:rFonts w:ascii="ＭＳ ゴシック" w:eastAsia="ＭＳ ゴシック" w:hAnsi="ＭＳ ゴシック" w:hint="eastAsia"/>
          <w:b/>
          <w:bCs/>
        </w:rPr>
        <w:t>による</w:t>
      </w:r>
      <w:r w:rsidRPr="00FF6309">
        <w:rPr>
          <w:rFonts w:ascii="ＭＳ ゴシック" w:eastAsia="ＭＳ ゴシック" w:hAnsi="ＭＳ ゴシック"/>
          <w:b/>
          <w:bCs/>
        </w:rPr>
        <w:t>意思決定（第12条）</w:t>
      </w:r>
    </w:p>
    <w:p w:rsidR="00720EAA" w:rsidRDefault="00720EAA" w:rsidP="00AF1B71"/>
    <w:p w:rsidR="00AF1B71" w:rsidRDefault="00AF1B71" w:rsidP="00AF1B71">
      <w:r>
        <w:t>77.</w:t>
      </w:r>
      <w:r w:rsidR="00744D33">
        <w:t xml:space="preserve"> </w:t>
      </w:r>
      <w:r>
        <w:t>法律の前</w:t>
      </w:r>
      <w:r w:rsidR="006F35FC">
        <w:rPr>
          <w:rFonts w:hint="eastAsia"/>
        </w:rPr>
        <w:t>で</w:t>
      </w:r>
      <w:r>
        <w:t>の平等な認識は、他の人権の行使に不可欠な人権保護の基本的な一般原則</w:t>
      </w:r>
      <w:r w:rsidR="003F6448">
        <w:t>である</w:t>
      </w:r>
      <w:r w:rsidR="009935D0">
        <w:rPr>
          <w:rStyle w:val="ac"/>
          <w:rFonts w:cs="Arial"/>
        </w:rPr>
        <w:footnoteReference w:id="223"/>
      </w:r>
      <w:r>
        <w:t>。この権利と締約国に</w:t>
      </w:r>
      <w:r w:rsidR="006F35FC">
        <w:rPr>
          <w:rFonts w:hint="eastAsia"/>
        </w:rPr>
        <w:t>とってのその意義</w:t>
      </w:r>
      <w:r>
        <w:t>は、2014年に委員会が採択した最初の</w:t>
      </w:r>
      <w:r w:rsidR="00B61E9E">
        <w:t>一般的意見</w:t>
      </w:r>
      <w:r>
        <w:t>で説明されて</w:t>
      </w:r>
      <w:r w:rsidR="003F6448">
        <w:t>いる</w:t>
      </w:r>
      <w:r>
        <w:t>。第12条は</w:t>
      </w:r>
      <w:r w:rsidR="00274DCA">
        <w:t>障害のある人</w:t>
      </w:r>
      <w:r>
        <w:t>の追加の権利を定めておらず、</w:t>
      </w:r>
      <w:r w:rsidR="006F35FC">
        <w:rPr>
          <w:rFonts w:hint="eastAsia"/>
        </w:rPr>
        <w:t>法律の前での</w:t>
      </w:r>
      <w:r>
        <w:t>平等を確保する際に</w:t>
      </w:r>
      <w:r w:rsidR="006F35FC">
        <w:rPr>
          <w:rFonts w:hint="eastAsia"/>
        </w:rPr>
        <w:t>締約国が</w:t>
      </w:r>
      <w:r>
        <w:t>考慮しなければならない要素について述べていることを強調</w:t>
      </w:r>
      <w:r w:rsidR="003F6448">
        <w:t>し</w:t>
      </w:r>
      <w:r w:rsidR="006F35FC">
        <w:rPr>
          <w:rFonts w:hint="eastAsia"/>
        </w:rPr>
        <w:t>、</w:t>
      </w:r>
      <w:r>
        <w:t>この</w:t>
      </w:r>
      <w:r w:rsidR="006F35FC">
        <w:rPr>
          <w:rFonts w:hint="eastAsia"/>
        </w:rPr>
        <w:t>条項</w:t>
      </w:r>
      <w:r>
        <w:t>は即時の</w:t>
      </w:r>
      <w:r w:rsidR="006F35FC">
        <w:rPr>
          <w:rFonts w:hint="eastAsia"/>
        </w:rPr>
        <w:t>実施義務の対象であるとした</w:t>
      </w:r>
      <w:r w:rsidR="009935D0">
        <w:rPr>
          <w:rStyle w:val="ac"/>
          <w:rFonts w:cs="Arial"/>
        </w:rPr>
        <w:footnoteReference w:id="224"/>
      </w:r>
      <w:r>
        <w:t>。委員会は、特に後見</w:t>
      </w:r>
      <w:r w:rsidR="006F35FC">
        <w:rPr>
          <w:rFonts w:hint="eastAsia"/>
        </w:rPr>
        <w:t>制度</w:t>
      </w:r>
      <w:r w:rsidR="009520DD">
        <w:rPr>
          <w:rFonts w:hint="eastAsia"/>
        </w:rPr>
        <w:t>や</w:t>
      </w:r>
      <w:r>
        <w:t>精神</w:t>
      </w:r>
      <w:r w:rsidR="006F35FC">
        <w:rPr>
          <w:rFonts w:hint="eastAsia"/>
        </w:rPr>
        <w:t>保健</w:t>
      </w:r>
      <w:r>
        <w:t>法の下で</w:t>
      </w:r>
      <w:r w:rsidR="009520DD">
        <w:rPr>
          <w:rFonts w:hint="eastAsia"/>
        </w:rPr>
        <w:t>の</w:t>
      </w:r>
      <w:r>
        <w:t>、障害に基づく法的能力</w:t>
      </w:r>
      <w:r w:rsidR="006F35FC">
        <w:rPr>
          <w:rFonts w:hint="eastAsia"/>
        </w:rPr>
        <w:t>の</w:t>
      </w:r>
      <w:r>
        <w:t>権利の否定は差別であり、禁止されることを強調した。</w:t>
      </w:r>
      <w:r>
        <w:rPr>
          <w:rFonts w:hint="eastAsia"/>
        </w:rPr>
        <w:t>締約国は、法律のすべての分野において、</w:t>
      </w:r>
      <w:r w:rsidR="00274DCA">
        <w:rPr>
          <w:rFonts w:hint="eastAsia"/>
        </w:rPr>
        <w:t>障害のある人</w:t>
      </w:r>
      <w:r>
        <w:rPr>
          <w:rFonts w:hint="eastAsia"/>
        </w:rPr>
        <w:t>の法的能力</w:t>
      </w:r>
      <w:r w:rsidR="009520DD">
        <w:rPr>
          <w:rFonts w:hint="eastAsia"/>
        </w:rPr>
        <w:t>の</w:t>
      </w:r>
      <w:r>
        <w:rPr>
          <w:rFonts w:hint="eastAsia"/>
        </w:rPr>
        <w:t>権利が他者と不平等</w:t>
      </w:r>
      <w:r w:rsidR="009520DD">
        <w:rPr>
          <w:rFonts w:hint="eastAsia"/>
        </w:rPr>
        <w:t>に</w:t>
      </w:r>
      <w:r>
        <w:rPr>
          <w:rFonts w:hint="eastAsia"/>
        </w:rPr>
        <w:t>制限されないことを保証しなければな</w:t>
      </w:r>
      <w:r w:rsidR="009520DD">
        <w:rPr>
          <w:rFonts w:hint="eastAsia"/>
        </w:rPr>
        <w:t>らない</w:t>
      </w:r>
      <w:r w:rsidR="009935D0">
        <w:rPr>
          <w:rStyle w:val="ac"/>
          <w:rFonts w:cs="Arial"/>
        </w:rPr>
        <w:footnoteReference w:id="225"/>
      </w:r>
      <w:r>
        <w:rPr>
          <w:rFonts w:hint="eastAsia"/>
        </w:rPr>
        <w:t>。したがって、知的障害および心理社会的障害のある人を含むすべての障害のある人は、他の人と同じ権利、特に投票する権利、結婚</w:t>
      </w:r>
      <w:r w:rsidR="009520DD">
        <w:rPr>
          <w:rFonts w:hint="eastAsia"/>
        </w:rPr>
        <w:t>し</w:t>
      </w:r>
      <w:r>
        <w:rPr>
          <w:rFonts w:hint="eastAsia"/>
        </w:rPr>
        <w:t>家族を</w:t>
      </w:r>
      <w:r w:rsidR="009520DD">
        <w:rPr>
          <w:rFonts w:hint="eastAsia"/>
        </w:rPr>
        <w:t>つくる</w:t>
      </w:r>
      <w:r>
        <w:rPr>
          <w:rFonts w:hint="eastAsia"/>
        </w:rPr>
        <w:t>権利、生殖</w:t>
      </w:r>
      <w:r w:rsidR="009520DD">
        <w:rPr>
          <w:rFonts w:hint="eastAsia"/>
        </w:rPr>
        <w:t>の権利</w:t>
      </w:r>
      <w:r>
        <w:rPr>
          <w:rFonts w:hint="eastAsia"/>
        </w:rPr>
        <w:t>、親権、親密な関係と治療</w:t>
      </w:r>
      <w:r w:rsidR="009520DD">
        <w:rPr>
          <w:rFonts w:hint="eastAsia"/>
        </w:rPr>
        <w:t>に同意する権利</w:t>
      </w:r>
      <w:r>
        <w:rPr>
          <w:rFonts w:hint="eastAsia"/>
        </w:rPr>
        <w:t>、および自由の権利</w:t>
      </w:r>
      <w:r w:rsidR="009520DD">
        <w:rPr>
          <w:rFonts w:hint="eastAsia"/>
        </w:rPr>
        <w:t>を行使する、同じ法的能力をもつ</w:t>
      </w:r>
      <w:r w:rsidR="009935D0">
        <w:rPr>
          <w:rStyle w:val="ac"/>
          <w:rFonts w:cs="Arial"/>
        </w:rPr>
        <w:footnoteReference w:id="226"/>
      </w:r>
      <w:r>
        <w:rPr>
          <w:rFonts w:hint="eastAsia"/>
        </w:rPr>
        <w:t>。</w:t>
      </w:r>
    </w:p>
    <w:p w:rsidR="00720EAA" w:rsidRDefault="00720EAA" w:rsidP="00AF1B71"/>
    <w:p w:rsidR="00AF1B71" w:rsidRDefault="00AF1B71" w:rsidP="00AF1B71">
      <w:r>
        <w:t>78.</w:t>
      </w:r>
      <w:r w:rsidR="00744D33">
        <w:t xml:space="preserve"> </w:t>
      </w:r>
      <w:r>
        <w:t>法律の前に平等に認められる権利は、</w:t>
      </w:r>
      <w:r w:rsidR="009520DD">
        <w:rPr>
          <w:rFonts w:hint="eastAsia"/>
        </w:rPr>
        <w:t>代理</w:t>
      </w:r>
      <w:r>
        <w:t>の意思決定パラダイム</w:t>
      </w:r>
      <w:r w:rsidR="009935D0">
        <w:rPr>
          <w:rStyle w:val="ac"/>
          <w:rFonts w:cs="Arial"/>
        </w:rPr>
        <w:footnoteReference w:id="227"/>
      </w:r>
      <w:r>
        <w:t>から、</w:t>
      </w:r>
      <w:r w:rsidR="009520DD">
        <w:rPr>
          <w:rFonts w:hint="eastAsia"/>
        </w:rPr>
        <w:t>支援</w:t>
      </w:r>
      <w:r>
        <w:t>された意思決定</w:t>
      </w:r>
      <w:r w:rsidR="009935D0">
        <w:rPr>
          <w:rStyle w:val="ac"/>
          <w:rFonts w:cs="Arial"/>
        </w:rPr>
        <w:footnoteReference w:id="228"/>
      </w:r>
      <w:r>
        <w:t>への</w:t>
      </w:r>
      <w:r w:rsidR="009520DD">
        <w:rPr>
          <w:rFonts w:hint="eastAsia"/>
        </w:rPr>
        <w:t>移行</w:t>
      </w:r>
      <w:r>
        <w:t>を意味</w:t>
      </w:r>
      <w:r w:rsidR="009520DD">
        <w:rPr>
          <w:rFonts w:hint="eastAsia"/>
        </w:rPr>
        <w:t>する。これも</w:t>
      </w:r>
      <w:r>
        <w:t>締約国への</w:t>
      </w:r>
      <w:r w:rsidR="009520DD">
        <w:rPr>
          <w:rFonts w:hint="eastAsia"/>
        </w:rPr>
        <w:t>総括所見で</w:t>
      </w:r>
      <w:r>
        <w:t>委員会</w:t>
      </w:r>
      <w:r w:rsidR="009520DD">
        <w:rPr>
          <w:rFonts w:hint="eastAsia"/>
        </w:rPr>
        <w:t>が</w:t>
      </w:r>
      <w:r>
        <w:t>体系的に行った勧告である</w:t>
      </w:r>
      <w:r w:rsidR="009935D0">
        <w:rPr>
          <w:rStyle w:val="ac"/>
          <w:rFonts w:cs="Arial"/>
        </w:rPr>
        <w:footnoteReference w:id="229"/>
      </w:r>
      <w:r>
        <w:t>。委員会は、一般</w:t>
      </w:r>
      <w:r w:rsidR="00274DCA">
        <w:rPr>
          <w:rFonts w:hint="eastAsia"/>
        </w:rPr>
        <w:t>的意見No.</w:t>
      </w:r>
      <w:r>
        <w:t>1において、</w:t>
      </w:r>
      <w:r w:rsidR="00274DCA">
        <w:t>障害のある人</w:t>
      </w:r>
      <w:r w:rsidR="009520DD">
        <w:rPr>
          <w:rFonts w:hint="eastAsia"/>
        </w:rPr>
        <w:t>の</w:t>
      </w:r>
      <w:r>
        <w:t>法的能力</w:t>
      </w:r>
      <w:r w:rsidR="009935D0">
        <w:rPr>
          <w:rStyle w:val="ac"/>
          <w:rFonts w:cs="Arial"/>
        </w:rPr>
        <w:footnoteReference w:id="230"/>
      </w:r>
      <w:r>
        <w:t>の行使において、権利、意志および選好を尊重し</w:t>
      </w:r>
      <w:r w:rsidR="009520DD">
        <w:rPr>
          <w:rFonts w:hint="eastAsia"/>
        </w:rPr>
        <w:t>た</w:t>
      </w:r>
      <w:r>
        <w:t>支援を提供する義務が</w:t>
      </w:r>
      <w:r w:rsidR="009520DD">
        <w:rPr>
          <w:rFonts w:hint="eastAsia"/>
        </w:rPr>
        <w:t>締約国に</w:t>
      </w:r>
      <w:r>
        <w:t>あると説明した</w:t>
      </w:r>
      <w:r w:rsidR="009935D0">
        <w:rPr>
          <w:rStyle w:val="ac"/>
          <w:rFonts w:cs="Arial"/>
        </w:rPr>
        <w:footnoteReference w:id="231"/>
      </w:r>
      <w:r>
        <w:t>。たとえば、障害のある人は、特定のタイプの決定</w:t>
      </w:r>
      <w:r w:rsidR="009520DD">
        <w:rPr>
          <w:rFonts w:hint="eastAsia"/>
        </w:rPr>
        <w:t>の</w:t>
      </w:r>
      <w:r>
        <w:t>法的能力</w:t>
      </w:r>
      <w:r w:rsidR="009520DD">
        <w:rPr>
          <w:rFonts w:hint="eastAsia"/>
        </w:rPr>
        <w:t>の</w:t>
      </w:r>
      <w:r>
        <w:t>行使を支援する1人以上の信頼できる</w:t>
      </w:r>
      <w:r w:rsidR="009520DD">
        <w:rPr>
          <w:rFonts w:hint="eastAsia"/>
        </w:rPr>
        <w:t>支援者</w:t>
      </w:r>
      <w:r>
        <w:t>を選択するか、ピアサポート、アドボカシー（</w:t>
      </w:r>
      <w:r w:rsidR="009520DD">
        <w:rPr>
          <w:rFonts w:hint="eastAsia"/>
        </w:rPr>
        <w:t>権利擁護。</w:t>
      </w:r>
      <w:r w:rsidR="00D91659">
        <w:rPr>
          <w:rFonts w:hint="eastAsia"/>
        </w:rPr>
        <w:t>自己権利擁護支援</w:t>
      </w:r>
      <w:r>
        <w:rPr>
          <w:rFonts w:hint="eastAsia"/>
        </w:rPr>
        <w:t>を含む）</w:t>
      </w:r>
      <w:r w:rsidR="00D91659">
        <w:rPr>
          <w:rFonts w:hint="eastAsia"/>
        </w:rPr>
        <w:t>あるいはコミュニケーションの支援</w:t>
      </w:r>
      <w:r>
        <w:rPr>
          <w:rFonts w:hint="eastAsia"/>
        </w:rPr>
        <w:t>などの他の形式の</w:t>
      </w:r>
      <w:r w:rsidR="00D91659">
        <w:rPr>
          <w:rFonts w:hint="eastAsia"/>
        </w:rPr>
        <w:t>支援</w:t>
      </w:r>
      <w:r>
        <w:rPr>
          <w:rFonts w:hint="eastAsia"/>
        </w:rPr>
        <w:t>を求めることが</w:t>
      </w:r>
      <w:r w:rsidR="003F6448">
        <w:rPr>
          <w:rFonts w:hint="eastAsia"/>
        </w:rPr>
        <w:t>できる</w:t>
      </w:r>
      <w:r w:rsidR="00D91659">
        <w:rPr>
          <w:rFonts w:hint="eastAsia"/>
        </w:rPr>
        <w:t>。</w:t>
      </w:r>
      <w:r>
        <w:rPr>
          <w:rFonts w:hint="eastAsia"/>
        </w:rPr>
        <w:t>これには、理解しやすい</w:t>
      </w:r>
      <w:r w:rsidR="00D91659">
        <w:rPr>
          <w:rFonts w:hint="eastAsia"/>
        </w:rPr>
        <w:t>様式での</w:t>
      </w:r>
      <w:r>
        <w:rPr>
          <w:rFonts w:hint="eastAsia"/>
        </w:rPr>
        <w:t>情報</w:t>
      </w:r>
      <w:r w:rsidR="00D91659">
        <w:rPr>
          <w:rFonts w:hint="eastAsia"/>
        </w:rPr>
        <w:t>の</w:t>
      </w:r>
      <w:r>
        <w:rPr>
          <w:rFonts w:hint="eastAsia"/>
        </w:rPr>
        <w:t>提供</w:t>
      </w:r>
      <w:r w:rsidR="00D91659">
        <w:rPr>
          <w:rFonts w:hint="eastAsia"/>
        </w:rPr>
        <w:t>、および多様で型にはまらないコミュニケーション方法の開発と承認などを含む、</w:t>
      </w:r>
      <w:r>
        <w:rPr>
          <w:rFonts w:hint="eastAsia"/>
        </w:rPr>
        <w:t>アクセシビリティとユニバーサルデザインに関する</w:t>
      </w:r>
      <w:r w:rsidR="00D91659">
        <w:rPr>
          <w:rFonts w:hint="eastAsia"/>
        </w:rPr>
        <w:t>措置が含まれる</w:t>
      </w:r>
      <w:r w:rsidR="009935D0">
        <w:rPr>
          <w:rStyle w:val="ac"/>
          <w:rFonts w:cs="Arial"/>
        </w:rPr>
        <w:footnoteReference w:id="232"/>
      </w:r>
      <w:r>
        <w:rPr>
          <w:rFonts w:hint="eastAsia"/>
        </w:rPr>
        <w:t>。委員会はまた、相当な努力が行われた後</w:t>
      </w:r>
      <w:r w:rsidR="00D91659">
        <w:rPr>
          <w:rFonts w:hint="eastAsia"/>
        </w:rPr>
        <w:t>でも</w:t>
      </w:r>
      <w:r>
        <w:rPr>
          <w:rFonts w:hint="eastAsia"/>
        </w:rPr>
        <w:t>、個人の意思と選好を決定することが現実的でない場合、「意思と選好の最良の解釈」が第三者の観点からの「最善の利益」</w:t>
      </w:r>
      <w:r w:rsidR="00D91659">
        <w:rPr>
          <w:rFonts w:hint="eastAsia"/>
        </w:rPr>
        <w:t>の</w:t>
      </w:r>
      <w:r>
        <w:rPr>
          <w:rFonts w:hint="eastAsia"/>
        </w:rPr>
        <w:t>決定に取って代わる必要があると判断</w:t>
      </w:r>
      <w:r w:rsidR="003F6448">
        <w:rPr>
          <w:rFonts w:hint="eastAsia"/>
        </w:rPr>
        <w:t>した</w:t>
      </w:r>
      <w:r w:rsidR="009935D0">
        <w:rPr>
          <w:rStyle w:val="ac"/>
          <w:rFonts w:cs="Arial"/>
        </w:rPr>
        <w:footnoteReference w:id="233"/>
      </w:r>
      <w:r>
        <w:rPr>
          <w:rFonts w:hint="eastAsia"/>
        </w:rPr>
        <w:t>。</w:t>
      </w:r>
    </w:p>
    <w:p w:rsidR="00720EAA" w:rsidRDefault="00720EAA" w:rsidP="00AF1B71"/>
    <w:p w:rsidR="00AF1B71" w:rsidRDefault="00AF1B71" w:rsidP="00AF1B71">
      <w:r>
        <w:t>79.</w:t>
      </w:r>
      <w:r w:rsidR="00744D33">
        <w:t xml:space="preserve"> </w:t>
      </w:r>
      <w:r>
        <w:t>最後に、締約国は、法的能力の行使のために適切かつ効果的な保護手段を作成しなければならず、これには</w:t>
      </w:r>
      <w:r w:rsidR="00D91659">
        <w:rPr>
          <w:rFonts w:hint="eastAsia"/>
        </w:rPr>
        <w:t>不当な</w:t>
      </w:r>
      <w:r>
        <w:t>影響</w:t>
      </w:r>
      <w:r w:rsidR="00D91659">
        <w:rPr>
          <w:rFonts w:hint="eastAsia"/>
        </w:rPr>
        <w:t>からの</w:t>
      </w:r>
      <w:r>
        <w:t>保護を含めるべき</w:t>
      </w:r>
      <w:r w:rsidR="00D91659">
        <w:rPr>
          <w:rFonts w:hint="eastAsia"/>
        </w:rPr>
        <w:t>である</w:t>
      </w:r>
      <w:r>
        <w:t>と</w:t>
      </w:r>
      <w:r w:rsidR="00D91659">
        <w:rPr>
          <w:rFonts w:hint="eastAsia"/>
        </w:rPr>
        <w:t>、委員会は</w:t>
      </w:r>
      <w:r>
        <w:t>強調した</w:t>
      </w:r>
      <w:r w:rsidR="009935D0">
        <w:rPr>
          <w:rStyle w:val="ac"/>
          <w:rFonts w:cs="Arial"/>
        </w:rPr>
        <w:footnoteReference w:id="234"/>
      </w:r>
      <w:r>
        <w:t>。</w:t>
      </w:r>
    </w:p>
    <w:p w:rsidR="00720EAA" w:rsidRDefault="00720EAA" w:rsidP="00AF1B71">
      <w:pPr>
        <w:rPr>
          <w:b/>
          <w:bCs/>
        </w:rPr>
      </w:pPr>
    </w:p>
    <w:p w:rsidR="00AF1B71" w:rsidRPr="00FF6309" w:rsidRDefault="00AF1B71" w:rsidP="00AF1B71">
      <w:pPr>
        <w:rPr>
          <w:rFonts w:ascii="ＭＳ ゴシック" w:eastAsia="ＭＳ ゴシック" w:hAnsi="ＭＳ ゴシック"/>
          <w:b/>
          <w:bCs/>
        </w:rPr>
      </w:pPr>
      <w:r w:rsidRPr="00FF6309">
        <w:rPr>
          <w:rFonts w:ascii="ＭＳ ゴシック" w:eastAsia="ＭＳ ゴシック" w:hAnsi="ＭＳ ゴシック"/>
          <w:b/>
          <w:bCs/>
        </w:rPr>
        <w:t>v</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Pr="00FF6309">
        <w:rPr>
          <w:rFonts w:ascii="ＭＳ ゴシック" w:eastAsia="ＭＳ ゴシック" w:hAnsi="ＭＳ ゴシック"/>
          <w:b/>
          <w:bCs/>
        </w:rPr>
        <w:t>すべての</w:t>
      </w:r>
      <w:r w:rsidR="00274DCA">
        <w:rPr>
          <w:rFonts w:ascii="ＭＳ ゴシック" w:eastAsia="ＭＳ ゴシック" w:hAnsi="ＭＳ ゴシック" w:hint="eastAsia"/>
          <w:b/>
          <w:bCs/>
        </w:rPr>
        <w:t>環境</w:t>
      </w:r>
      <w:r w:rsidRPr="00FF6309">
        <w:rPr>
          <w:rFonts w:ascii="ＭＳ ゴシック" w:eastAsia="ＭＳ ゴシック" w:hAnsi="ＭＳ ゴシック"/>
          <w:b/>
          <w:bCs/>
        </w:rPr>
        <w:t>における</w:t>
      </w:r>
      <w:r w:rsidR="00D91659">
        <w:rPr>
          <w:rFonts w:ascii="ＭＳ ゴシック" w:eastAsia="ＭＳ ゴシック" w:hAnsi="ＭＳ ゴシック" w:hint="eastAsia"/>
          <w:b/>
          <w:bCs/>
        </w:rPr>
        <w:t>、</w:t>
      </w:r>
      <w:r w:rsidRPr="00FF6309">
        <w:rPr>
          <w:rFonts w:ascii="ＭＳ ゴシック" w:eastAsia="ＭＳ ゴシック" w:hAnsi="ＭＳ ゴシック"/>
          <w:b/>
          <w:bCs/>
        </w:rPr>
        <w:t>生命</w:t>
      </w:r>
      <w:r w:rsidR="00D91659">
        <w:rPr>
          <w:rFonts w:ascii="ＭＳ ゴシック" w:eastAsia="ＭＳ ゴシック" w:hAnsi="ＭＳ ゴシック" w:hint="eastAsia"/>
          <w:b/>
          <w:bCs/>
        </w:rPr>
        <w:t>の</w:t>
      </w:r>
      <w:r w:rsidRPr="00FF6309">
        <w:rPr>
          <w:rFonts w:ascii="ＭＳ ゴシック" w:eastAsia="ＭＳ ゴシック" w:hAnsi="ＭＳ ゴシック"/>
          <w:b/>
          <w:bCs/>
        </w:rPr>
        <w:t>権利および虐待、暴力、有害な</w:t>
      </w:r>
      <w:r w:rsidR="00352327">
        <w:rPr>
          <w:rFonts w:ascii="ＭＳ ゴシック" w:eastAsia="ＭＳ ゴシック" w:hAnsi="ＭＳ ゴシック" w:hint="eastAsia"/>
          <w:b/>
          <w:bCs/>
        </w:rPr>
        <w:t>行為</w:t>
      </w:r>
      <w:r w:rsidRPr="00FF6309">
        <w:rPr>
          <w:rFonts w:ascii="ＭＳ ゴシック" w:eastAsia="ＭＳ ゴシック" w:hAnsi="ＭＳ ゴシック"/>
          <w:b/>
          <w:bCs/>
        </w:rPr>
        <w:t>からの自由（第10、16、17条）</w:t>
      </w:r>
    </w:p>
    <w:p w:rsidR="00720EAA" w:rsidRDefault="00720EAA" w:rsidP="00AF1B71"/>
    <w:p w:rsidR="00AF1B71" w:rsidRDefault="00AF1B71" w:rsidP="00AF1B71">
      <w:r>
        <w:t>80.</w:t>
      </w:r>
      <w:r w:rsidR="00744D33">
        <w:t xml:space="preserve"> </w:t>
      </w:r>
      <w:r>
        <w:t>委員会は、</w:t>
      </w:r>
      <w:r w:rsidR="00274DCA">
        <w:rPr>
          <w:rFonts w:hint="eastAsia"/>
        </w:rPr>
        <w:t>総括所見</w:t>
      </w:r>
      <w:r>
        <w:t>において、締約国に対し、</w:t>
      </w:r>
      <w:r w:rsidR="000F0BD1">
        <w:t>障害のある子ども</w:t>
      </w:r>
      <w:r w:rsidR="007F5C98" w:rsidRPr="004A104F">
        <w:rPr>
          <w:rStyle w:val="ac"/>
          <w:rFonts w:cs="Arial"/>
          <w:lang w:val="en-GB"/>
        </w:rPr>
        <w:footnoteReference w:id="235"/>
      </w:r>
      <w:r w:rsidR="000F0BD1">
        <w:t>および成人に対</w:t>
      </w:r>
      <w:r w:rsidR="000F0BD1">
        <w:rPr>
          <w:rFonts w:hint="eastAsia"/>
        </w:rPr>
        <w:t>して犯された</w:t>
      </w:r>
      <w:r>
        <w:t>「思いやりのある」または「名誉ある殺人」</w:t>
      </w:r>
      <w:r w:rsidR="007F5C98" w:rsidRPr="004A104F">
        <w:rPr>
          <w:rStyle w:val="ac"/>
          <w:rFonts w:cs="Arial"/>
          <w:lang w:val="en-GB"/>
        </w:rPr>
        <w:footnoteReference w:id="236"/>
      </w:r>
      <w:r w:rsidR="000F0BD1">
        <w:rPr>
          <w:rFonts w:hint="eastAsia"/>
        </w:rPr>
        <w:t>および</w:t>
      </w:r>
      <w:r>
        <w:t>儀式犯罪</w:t>
      </w:r>
      <w:r w:rsidR="007F5C98" w:rsidRPr="004A104F">
        <w:rPr>
          <w:rStyle w:val="ac"/>
          <w:rFonts w:cs="Arial"/>
          <w:lang w:val="en-GB"/>
        </w:rPr>
        <w:footnoteReference w:id="237"/>
      </w:r>
      <w:r>
        <w:t>、</w:t>
      </w:r>
      <w:r w:rsidR="000F0BD1">
        <w:rPr>
          <w:rFonts w:hint="eastAsia"/>
        </w:rPr>
        <w:t>そしてアルビニズム</w:t>
      </w:r>
      <w:r w:rsidR="007F5C98" w:rsidRPr="004A104F">
        <w:rPr>
          <w:rStyle w:val="ac"/>
          <w:rFonts w:cs="Arial"/>
          <w:lang w:val="en-GB"/>
        </w:rPr>
        <w:footnoteReference w:id="238"/>
      </w:r>
      <w:r>
        <w:t>の人に対する暴力犯罪を排除する措置を講じることを強く</w:t>
      </w:r>
      <w:r w:rsidR="000F0BD1">
        <w:rPr>
          <w:rFonts w:hint="eastAsia"/>
        </w:rPr>
        <w:t>勧告</w:t>
      </w:r>
      <w:r>
        <w:t>した。締約国は、自殺</w:t>
      </w:r>
      <w:r w:rsidR="007F5C98">
        <w:rPr>
          <w:rStyle w:val="ac"/>
          <w:rFonts w:cs="Arial"/>
        </w:rPr>
        <w:footnoteReference w:id="239"/>
      </w:r>
      <w:r>
        <w:t>を含む死因を特定するためのすべての可能な措置、および</w:t>
      </w:r>
      <w:r w:rsidR="00274DCA">
        <w:t>障害のある人</w:t>
      </w:r>
      <w:r>
        <w:t>が</w:t>
      </w:r>
      <w:r w:rsidR="000F0BD1">
        <w:rPr>
          <w:rFonts w:hint="eastAsia"/>
        </w:rPr>
        <w:t>恣意</w:t>
      </w:r>
      <w:r>
        <w:t>的な生命の剥奪を受けないことを保証するための措置を採用、監視、実施する必要が</w:t>
      </w:r>
      <w:r w:rsidR="003F6448">
        <w:t>ある</w:t>
      </w:r>
      <w:r w:rsidR="007F5C98">
        <w:rPr>
          <w:rStyle w:val="ac"/>
          <w:rFonts w:cs="Arial"/>
        </w:rPr>
        <w:footnoteReference w:id="240"/>
      </w:r>
      <w:r>
        <w:t>。</w:t>
      </w:r>
      <w:r w:rsidR="000F0BD1">
        <w:rPr>
          <w:rFonts w:hint="eastAsia"/>
        </w:rPr>
        <w:t>委員会</w:t>
      </w:r>
      <w:r>
        <w:t>は、</w:t>
      </w:r>
      <w:r w:rsidR="000F0BD1">
        <w:rPr>
          <w:rFonts w:hint="eastAsia"/>
        </w:rPr>
        <w:t>現実に</w:t>
      </w:r>
      <w:r w:rsidR="000F0BD1">
        <w:t>心理社会的</w:t>
      </w:r>
      <w:r w:rsidR="000F0BD1">
        <w:rPr>
          <w:rFonts w:hint="eastAsia"/>
        </w:rPr>
        <w:t>障害のある人と</w:t>
      </w:r>
      <w:r w:rsidR="000F0BD1">
        <w:t>知的障害のある人は、刑事訴訟に</w:t>
      </w:r>
      <w:r w:rsidR="000F0BD1">
        <w:rPr>
          <w:rFonts w:hint="eastAsia"/>
        </w:rPr>
        <w:t>おける手続き的配慮の欠如により、死刑の大きなリスクに直面する可能性があることに留意し、</w:t>
      </w:r>
      <w:r>
        <w:t>死刑を他の刑事制裁</w:t>
      </w:r>
      <w:r w:rsidR="007F5C98">
        <w:rPr>
          <w:rStyle w:val="ac"/>
          <w:rFonts w:cs="Arial"/>
        </w:rPr>
        <w:footnoteReference w:id="241"/>
      </w:r>
      <w:r>
        <w:t>に置き換えることを奨励し</w:t>
      </w:r>
      <w:r w:rsidR="000F0BD1">
        <w:rPr>
          <w:rFonts w:hint="eastAsia"/>
        </w:rPr>
        <w:t>た</w:t>
      </w:r>
      <w:r w:rsidR="007F5C98">
        <w:rPr>
          <w:rStyle w:val="ac"/>
          <w:rFonts w:cs="Arial"/>
        </w:rPr>
        <w:footnoteReference w:id="242"/>
      </w:r>
      <w:r>
        <w:rPr>
          <w:rFonts w:hint="eastAsia"/>
        </w:rPr>
        <w:t>。</w:t>
      </w:r>
    </w:p>
    <w:p w:rsidR="00720EAA" w:rsidRDefault="00720EAA" w:rsidP="00AF1B71"/>
    <w:p w:rsidR="00AF1B71" w:rsidRDefault="00AF1B71" w:rsidP="00AF1B71">
      <w:r>
        <w:t>81.</w:t>
      </w:r>
      <w:r w:rsidR="00744D33">
        <w:t xml:space="preserve"> </w:t>
      </w:r>
      <w:r>
        <w:t>生命維持治療およびケアの終了または撤回に関連して、委員会は、代替意思決定</w:t>
      </w:r>
      <w:r w:rsidR="000F0BD1">
        <w:rPr>
          <w:rFonts w:hint="eastAsia"/>
        </w:rPr>
        <w:t>制度</w:t>
      </w:r>
      <w:r>
        <w:t>の適用は</w:t>
      </w:r>
      <w:r w:rsidR="00274DCA">
        <w:t>障害のある人</w:t>
      </w:r>
      <w:r>
        <w:t>の生命</w:t>
      </w:r>
      <w:r w:rsidR="000F0BD1">
        <w:rPr>
          <w:rFonts w:hint="eastAsia"/>
        </w:rPr>
        <w:t>の</w:t>
      </w:r>
      <w:r>
        <w:t>権利と矛盾することを強調した</w:t>
      </w:r>
      <w:r w:rsidR="007F5C98">
        <w:rPr>
          <w:rStyle w:val="ac"/>
          <w:rFonts w:cs="Arial"/>
        </w:rPr>
        <w:footnoteReference w:id="243"/>
      </w:r>
      <w:r>
        <w:t>。締約国は、「</w:t>
      </w:r>
      <w:r w:rsidR="000F0BD1">
        <w:rPr>
          <w:rFonts w:hint="eastAsia"/>
        </w:rPr>
        <w:t>支援</w:t>
      </w:r>
      <w:r>
        <w:t>死」を求める人が、適切な緩和ケア、</w:t>
      </w:r>
      <w:r w:rsidR="00274DCA">
        <w:t>障害</w:t>
      </w:r>
      <w:r w:rsidR="000F0BD1">
        <w:rPr>
          <w:rFonts w:hint="eastAsia"/>
        </w:rPr>
        <w:t>者</w:t>
      </w:r>
      <w:r>
        <w:t>支援、在宅介護、および</w:t>
      </w:r>
      <w:r w:rsidR="000F0BD1">
        <w:rPr>
          <w:rFonts w:hint="eastAsia"/>
        </w:rPr>
        <w:t>人としての開花</w:t>
      </w:r>
      <w:r>
        <w:t>を支援するその他の社会的措置によって</w:t>
      </w:r>
      <w:r w:rsidR="000F0BD1">
        <w:rPr>
          <w:rFonts w:hint="eastAsia"/>
        </w:rPr>
        <w:t>、代わりの選択肢が選べ、尊厳ある生</w:t>
      </w:r>
      <w:r w:rsidR="00212065">
        <w:rPr>
          <w:rFonts w:hint="eastAsia"/>
        </w:rPr>
        <w:t>が</w:t>
      </w:r>
      <w:r w:rsidR="00212065">
        <w:t>可能</w:t>
      </w:r>
      <w:r w:rsidR="00212065">
        <w:rPr>
          <w:rFonts w:hint="eastAsia"/>
        </w:rPr>
        <w:t>となるように</w:t>
      </w:r>
      <w:r>
        <w:t>す</w:t>
      </w:r>
      <w:r w:rsidR="00212065">
        <w:rPr>
          <w:rFonts w:hint="eastAsia"/>
        </w:rPr>
        <w:t>べきである</w:t>
      </w:r>
      <w:r w:rsidR="007F5C98">
        <w:rPr>
          <w:rStyle w:val="ac"/>
          <w:rFonts w:cs="Arial"/>
        </w:rPr>
        <w:footnoteReference w:id="244"/>
      </w:r>
      <w:r w:rsidR="00212065">
        <w:rPr>
          <w:rFonts w:hint="eastAsia"/>
        </w:rPr>
        <w:t>。</w:t>
      </w:r>
      <w:r>
        <w:t>国はまた、</w:t>
      </w:r>
      <w:r w:rsidR="00274DCA">
        <w:t>障害のある人</w:t>
      </w:r>
      <w:r>
        <w:t>の自殺の</w:t>
      </w:r>
      <w:r w:rsidR="00212065">
        <w:rPr>
          <w:rFonts w:hint="eastAsia"/>
        </w:rPr>
        <w:t>危険</w:t>
      </w:r>
      <w:r>
        <w:t>の状況を予防、</w:t>
      </w:r>
      <w:r w:rsidR="00212065">
        <w:rPr>
          <w:rFonts w:hint="eastAsia"/>
        </w:rPr>
        <w:t>調査</w:t>
      </w:r>
      <w:r>
        <w:t>、対処すべきである</w:t>
      </w:r>
      <w:r w:rsidR="007F5C98">
        <w:rPr>
          <w:rStyle w:val="ac"/>
          <w:rFonts w:cs="Arial"/>
        </w:rPr>
        <w:footnoteReference w:id="245"/>
      </w:r>
      <w:r>
        <w:t>。</w:t>
      </w:r>
    </w:p>
    <w:p w:rsidR="00AF1B71" w:rsidRDefault="00AF1B71" w:rsidP="00AF1B71"/>
    <w:p w:rsidR="002F40B6" w:rsidRDefault="002F40B6" w:rsidP="002F40B6">
      <w:r>
        <w:t>82.</w:t>
      </w:r>
      <w:r w:rsidR="00744D33">
        <w:t xml:space="preserve"> </w:t>
      </w:r>
      <w:r>
        <w:t>委員会は、</w:t>
      </w:r>
      <w:r w:rsidR="00274DCA">
        <w:t>障害のある人</w:t>
      </w:r>
      <w:r>
        <w:t>に対するあらゆる種類の暴力を非難し、締約国に対し、暴力行為を防止、</w:t>
      </w:r>
      <w:r w:rsidR="00352327">
        <w:rPr>
          <w:rFonts w:hint="eastAsia"/>
        </w:rPr>
        <w:t>捜査</w:t>
      </w:r>
      <w:r>
        <w:t>、制裁する措置を講じるよう勧告した。このような行為には、いじめ</w:t>
      </w:r>
      <w:r w:rsidR="007F5C98">
        <w:rPr>
          <w:rStyle w:val="ac"/>
          <w:rFonts w:cs="Arial"/>
        </w:rPr>
        <w:footnoteReference w:id="246"/>
      </w:r>
      <w:r>
        <w:t>やサイバーいじめ</w:t>
      </w:r>
      <w:r w:rsidR="007F5C98">
        <w:rPr>
          <w:rStyle w:val="ac"/>
          <w:rFonts w:cs="Arial"/>
        </w:rPr>
        <w:footnoteReference w:id="247"/>
      </w:r>
      <w:r>
        <w:t>などの嫌がらせ</w:t>
      </w:r>
      <w:r w:rsidR="007F5C98">
        <w:rPr>
          <w:rStyle w:val="ac"/>
          <w:rFonts w:cs="Arial"/>
        </w:rPr>
        <w:footnoteReference w:id="248"/>
      </w:r>
      <w:r>
        <w:t>、障害のある成人</w:t>
      </w:r>
      <w:r w:rsidR="007F5C98">
        <w:rPr>
          <w:rStyle w:val="ac"/>
          <w:rFonts w:cs="Arial"/>
        </w:rPr>
        <w:footnoteReference w:id="249"/>
      </w:r>
      <w:r>
        <w:t>や子供に対する体罰</w:t>
      </w:r>
      <w:r w:rsidR="007F5C98">
        <w:rPr>
          <w:rStyle w:val="ac"/>
          <w:rFonts w:cs="Arial"/>
        </w:rPr>
        <w:footnoteReference w:id="250"/>
      </w:r>
      <w:r>
        <w:t>、</w:t>
      </w:r>
      <w:r w:rsidR="00212065">
        <w:rPr>
          <w:rFonts w:hint="eastAsia"/>
        </w:rPr>
        <w:t>配偶者間</w:t>
      </w:r>
      <w:r>
        <w:t>強姦や近親相姦</w:t>
      </w:r>
      <w:r w:rsidR="007F5C98">
        <w:rPr>
          <w:rStyle w:val="ac"/>
          <w:rFonts w:cs="Arial"/>
        </w:rPr>
        <w:footnoteReference w:id="251"/>
      </w:r>
      <w:r>
        <w:t>などの性的暴力</w:t>
      </w:r>
      <w:r w:rsidR="007F5C98">
        <w:rPr>
          <w:rStyle w:val="ac"/>
          <w:rFonts w:cs="Arial"/>
        </w:rPr>
        <w:footnoteReference w:id="252"/>
      </w:r>
      <w:r>
        <w:t>、施設内で発生する暴力</w:t>
      </w:r>
      <w:r w:rsidR="006A7DDE">
        <w:rPr>
          <w:rStyle w:val="ac"/>
          <w:rFonts w:cs="Arial"/>
        </w:rPr>
        <w:footnoteReference w:id="253"/>
      </w:r>
      <w:r>
        <w:t>が含まれ</w:t>
      </w:r>
      <w:r w:rsidR="00212065">
        <w:rPr>
          <w:rFonts w:hint="eastAsia"/>
        </w:rPr>
        <w:t>る</w:t>
      </w:r>
      <w:r>
        <w:t>。委員会は主に</w:t>
      </w:r>
      <w:r w:rsidR="00212065">
        <w:rPr>
          <w:rFonts w:hint="eastAsia"/>
        </w:rPr>
        <w:t>家族間</w:t>
      </w:r>
      <w:r>
        <w:t>暴力に</w:t>
      </w:r>
      <w:r w:rsidR="006A7DDE">
        <w:rPr>
          <w:rStyle w:val="ac"/>
          <w:rFonts w:cs="Arial"/>
        </w:rPr>
        <w:footnoteReference w:id="254"/>
      </w:r>
      <w:r>
        <w:t>ついて言及してい</w:t>
      </w:r>
      <w:r w:rsidR="003F6448">
        <w:t>た</w:t>
      </w:r>
      <w:r>
        <w:t>が、</w:t>
      </w:r>
      <w:r w:rsidR="00212065">
        <w:rPr>
          <w:rFonts w:hint="eastAsia"/>
        </w:rPr>
        <w:t>自宅</w:t>
      </w:r>
      <w:r>
        <w:t>内暴力のすべてのケースが</w:t>
      </w:r>
      <w:r w:rsidR="00212065">
        <w:rPr>
          <w:rFonts w:hint="eastAsia"/>
        </w:rPr>
        <w:t>家族間</w:t>
      </w:r>
      <w:r>
        <w:t>暴力であるわけではないため、現在では「</w:t>
      </w:r>
      <w:r w:rsidR="00212065">
        <w:rPr>
          <w:rFonts w:hint="eastAsia"/>
        </w:rPr>
        <w:t>家族間および家族間</w:t>
      </w:r>
      <w:r>
        <w:t>外の暴力」</w:t>
      </w:r>
      <w:r w:rsidR="006A7DDE">
        <w:rPr>
          <w:rStyle w:val="ac"/>
          <w:rFonts w:cs="Arial"/>
        </w:rPr>
        <w:footnoteReference w:id="255"/>
      </w:r>
      <w:r w:rsidR="00212065">
        <w:rPr>
          <w:rFonts w:hint="eastAsia"/>
        </w:rPr>
        <w:t>に</w:t>
      </w:r>
      <w:r>
        <w:t>より頻繁に</w:t>
      </w:r>
      <w:r w:rsidR="00212065">
        <w:rPr>
          <w:rFonts w:hint="eastAsia"/>
        </w:rPr>
        <w:t>言及</w:t>
      </w:r>
      <w:r>
        <w:t>して</w:t>
      </w:r>
      <w:r w:rsidR="003F6448">
        <w:t>いる</w:t>
      </w:r>
      <w:r>
        <w:t>。X</w:t>
      </w:r>
      <w:r w:rsidR="00212065">
        <w:rPr>
          <w:rFonts w:hint="eastAsia"/>
        </w:rPr>
        <w:t>対</w:t>
      </w:r>
      <w:r>
        <w:t>タンザニア</w:t>
      </w:r>
      <w:r w:rsidR="00212065">
        <w:rPr>
          <w:rFonts w:hint="eastAsia"/>
        </w:rPr>
        <w:t>の事例</w:t>
      </w:r>
      <w:r>
        <w:t>で述べたように、締約国は、</w:t>
      </w:r>
      <w:r w:rsidR="00274DCA">
        <w:rPr>
          <w:rFonts w:hint="eastAsia"/>
        </w:rPr>
        <w:t>障害のある人</w:t>
      </w:r>
      <w:r>
        <w:rPr>
          <w:rFonts w:hint="eastAsia"/>
        </w:rPr>
        <w:t>に対する暴力行為を防止し、効率的に</w:t>
      </w:r>
      <w:r w:rsidR="00352327">
        <w:rPr>
          <w:rFonts w:hint="eastAsia"/>
        </w:rPr>
        <w:t>捜査</w:t>
      </w:r>
      <w:r>
        <w:rPr>
          <w:rFonts w:hint="eastAsia"/>
        </w:rPr>
        <w:t>し、処罰するために必要なすべての措置を講じなければな</w:t>
      </w:r>
      <w:r w:rsidR="00212065">
        <w:rPr>
          <w:rFonts w:hint="eastAsia"/>
        </w:rPr>
        <w:t>らない</w:t>
      </w:r>
      <w:r>
        <w:rPr>
          <w:rFonts w:hint="eastAsia"/>
        </w:rPr>
        <w:t>。その</w:t>
      </w:r>
      <w:r w:rsidR="00212065">
        <w:rPr>
          <w:rFonts w:hint="eastAsia"/>
        </w:rPr>
        <w:t>事例で</w:t>
      </w:r>
      <w:r>
        <w:rPr>
          <w:rFonts w:hint="eastAsia"/>
        </w:rPr>
        <w:t>委員会は、アルビニズムのために</w:t>
      </w:r>
      <w:r>
        <w:t>2人の見知らぬ人によって</w:t>
      </w:r>
      <w:r w:rsidR="00212065">
        <w:rPr>
          <w:rFonts w:hint="eastAsia"/>
        </w:rPr>
        <w:t>片</w:t>
      </w:r>
      <w:r>
        <w:t>腕が切断されたタンザニア人の場合、国</w:t>
      </w:r>
      <w:r w:rsidR="008C6349">
        <w:rPr>
          <w:rFonts w:hint="eastAsia"/>
        </w:rPr>
        <w:t>が</w:t>
      </w:r>
      <w:r>
        <w:t>必要な措置を講じなかったことは、彼の身体的および精神的完全性</w:t>
      </w:r>
      <w:r w:rsidR="008C6349">
        <w:rPr>
          <w:rFonts w:hint="eastAsia"/>
        </w:rPr>
        <w:t>の</w:t>
      </w:r>
      <w:r>
        <w:t>保護</w:t>
      </w:r>
      <w:r w:rsidR="008C6349">
        <w:rPr>
          <w:rFonts w:hint="eastAsia"/>
        </w:rPr>
        <w:t>の失敗だとした。</w:t>
      </w:r>
      <w:r>
        <w:t>さらに、委員会は、締約国に対し、秘密</w:t>
      </w:r>
      <w:r w:rsidR="00352327">
        <w:rPr>
          <w:rFonts w:hint="eastAsia"/>
        </w:rPr>
        <w:t>が守られる</w:t>
      </w:r>
      <w:r>
        <w:t>苦情のメカニズム、避難所およびその他の支援措置を含む、アクセス可能で</w:t>
      </w:r>
      <w:r w:rsidR="008C6349">
        <w:rPr>
          <w:rFonts w:hint="eastAsia"/>
        </w:rPr>
        <w:t>インクルーシブ</w:t>
      </w:r>
      <w:r>
        <w:t>な支援サービスを確保するよう勧告した。欧州評議会の加盟国に対</w:t>
      </w:r>
      <w:r>
        <w:rPr>
          <w:rFonts w:hint="eastAsia"/>
        </w:rPr>
        <w:t>し</w:t>
      </w:r>
      <w:r w:rsidR="008C6349">
        <w:rPr>
          <w:rFonts w:hint="eastAsia"/>
        </w:rPr>
        <w:t>て</w:t>
      </w:r>
      <w:r>
        <w:rPr>
          <w:rFonts w:hint="eastAsia"/>
        </w:rPr>
        <w:t>、一般的には</w:t>
      </w:r>
      <w:r w:rsidR="008C6349">
        <w:rPr>
          <w:rFonts w:hint="eastAsia"/>
        </w:rPr>
        <w:t>よく</w:t>
      </w:r>
      <w:r>
        <w:rPr>
          <w:rFonts w:hint="eastAsia"/>
        </w:rPr>
        <w:t>「イスタンブール条約」と呼ばれる、</w:t>
      </w:r>
      <w:r w:rsidR="008C6349">
        <w:rPr>
          <w:rFonts w:hint="eastAsia"/>
        </w:rPr>
        <w:t>「</w:t>
      </w:r>
      <w:r>
        <w:rPr>
          <w:rFonts w:hint="eastAsia"/>
        </w:rPr>
        <w:t>女性に対する暴力と</w:t>
      </w:r>
      <w:r w:rsidR="008C6349">
        <w:rPr>
          <w:rFonts w:hint="eastAsia"/>
        </w:rPr>
        <w:t>家族間</w:t>
      </w:r>
      <w:r>
        <w:rPr>
          <w:rFonts w:hint="eastAsia"/>
        </w:rPr>
        <w:t>暴力の防止と闘争に関する条約</w:t>
      </w:r>
      <w:r w:rsidR="008C6349">
        <w:rPr>
          <w:rFonts w:hint="eastAsia"/>
        </w:rPr>
        <w:t>」</w:t>
      </w:r>
      <w:r>
        <w:rPr>
          <w:rFonts w:hint="eastAsia"/>
        </w:rPr>
        <w:t>を批准するよう奨励</w:t>
      </w:r>
      <w:r w:rsidR="003F6448">
        <w:rPr>
          <w:rFonts w:hint="eastAsia"/>
        </w:rPr>
        <w:t>した</w:t>
      </w:r>
      <w:r w:rsidR="006A7DDE">
        <w:rPr>
          <w:rStyle w:val="ac"/>
          <w:rFonts w:cs="Arial"/>
        </w:rPr>
        <w:footnoteReference w:id="256"/>
      </w:r>
      <w:r>
        <w:rPr>
          <w:rFonts w:hint="eastAsia"/>
        </w:rPr>
        <w:t>。</w:t>
      </w:r>
    </w:p>
    <w:p w:rsidR="00720EAA" w:rsidRDefault="00720EAA" w:rsidP="002F40B6">
      <w:pPr>
        <w:rPr>
          <w:b/>
          <w:bCs/>
        </w:rPr>
      </w:pPr>
    </w:p>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b/>
          <w:bCs/>
        </w:rPr>
        <w:t>vi</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Pr="00FF6309">
        <w:rPr>
          <w:rFonts w:ascii="ＭＳ ゴシック" w:eastAsia="ＭＳ ゴシック" w:hAnsi="ＭＳ ゴシック"/>
          <w:b/>
          <w:bCs/>
        </w:rPr>
        <w:t>健康（第25条）、ハビリテーション</w:t>
      </w:r>
      <w:r w:rsidR="00352327">
        <w:rPr>
          <w:rFonts w:ascii="ＭＳ ゴシック" w:eastAsia="ＭＳ ゴシック" w:hAnsi="ＭＳ ゴシック" w:hint="eastAsia"/>
          <w:b/>
          <w:bCs/>
        </w:rPr>
        <w:t>および</w:t>
      </w:r>
      <w:r w:rsidRPr="00FF6309">
        <w:rPr>
          <w:rFonts w:ascii="ＭＳ ゴシック" w:eastAsia="ＭＳ ゴシック" w:hAnsi="ＭＳ ゴシック"/>
          <w:b/>
          <w:bCs/>
        </w:rPr>
        <w:t>リハビリテーション（第26条）および強制</w:t>
      </w:r>
      <w:r w:rsidR="00352327">
        <w:rPr>
          <w:rFonts w:ascii="ＭＳ ゴシック" w:eastAsia="ＭＳ ゴシック" w:hAnsi="ＭＳ ゴシック" w:hint="eastAsia"/>
          <w:b/>
          <w:bCs/>
        </w:rPr>
        <w:t>入所</w:t>
      </w:r>
      <w:r w:rsidRPr="00FF6309">
        <w:rPr>
          <w:rFonts w:ascii="ＭＳ ゴシック" w:eastAsia="ＭＳ ゴシック" w:hAnsi="ＭＳ ゴシック"/>
          <w:b/>
          <w:bCs/>
        </w:rPr>
        <w:t>と</w:t>
      </w:r>
      <w:r w:rsidR="008C6349">
        <w:rPr>
          <w:rFonts w:ascii="ＭＳ ゴシック" w:eastAsia="ＭＳ ゴシック" w:hAnsi="ＭＳ ゴシック" w:hint="eastAsia"/>
          <w:b/>
          <w:bCs/>
        </w:rPr>
        <w:t>強制</w:t>
      </w:r>
      <w:r w:rsidRPr="00FF6309">
        <w:rPr>
          <w:rFonts w:ascii="ＭＳ ゴシック" w:eastAsia="ＭＳ ゴシック" w:hAnsi="ＭＳ ゴシック"/>
          <w:b/>
          <w:bCs/>
        </w:rPr>
        <w:t>治療の禁止（第12、14、15、16、17条）</w:t>
      </w:r>
    </w:p>
    <w:p w:rsidR="00720EAA" w:rsidRPr="00FF6309" w:rsidRDefault="00720EAA" w:rsidP="002F40B6">
      <w:pPr>
        <w:rPr>
          <w:rFonts w:ascii="ＭＳ ゴシック" w:eastAsia="ＭＳ ゴシック" w:hAnsi="ＭＳ ゴシック"/>
          <w:b/>
          <w:bCs/>
        </w:rPr>
      </w:pPr>
    </w:p>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hint="eastAsia"/>
          <w:b/>
          <w:bCs/>
        </w:rPr>
        <w:t>性と生殖に関する健康と権利、ハビリテーションとリハビリテーションを含む健康へのアクセス</w:t>
      </w:r>
    </w:p>
    <w:p w:rsidR="00720EAA" w:rsidRDefault="00720EAA" w:rsidP="002F40B6"/>
    <w:p w:rsidR="002F40B6" w:rsidRDefault="002F40B6" w:rsidP="002F40B6">
      <w:r>
        <w:t xml:space="preserve">83. </w:t>
      </w:r>
      <w:r w:rsidR="00744D33">
        <w:t xml:space="preserve"> </w:t>
      </w:r>
      <w:r>
        <w:t>CRPD第25条</w:t>
      </w:r>
      <w:r w:rsidR="008C6349">
        <w:rPr>
          <w:rFonts w:hint="eastAsia"/>
        </w:rPr>
        <w:t>の下で</w:t>
      </w:r>
      <w:r>
        <w:t>、障害のある人は、障害に基づく差別なしに、達成可能な最高水準の健康を享受する権利を有して</w:t>
      </w:r>
      <w:r w:rsidR="003F6448">
        <w:t>いる</w:t>
      </w:r>
      <w:r>
        <w:t>。これは、締約国が、性</w:t>
      </w:r>
      <w:r w:rsidR="008C6349">
        <w:rPr>
          <w:rFonts w:hint="eastAsia"/>
        </w:rPr>
        <w:t>と</w:t>
      </w:r>
      <w:r>
        <w:t>生殖の健康と権利、ならびに精神</w:t>
      </w:r>
      <w:r w:rsidR="008C6349">
        <w:rPr>
          <w:rFonts w:hint="eastAsia"/>
        </w:rPr>
        <w:t>保健</w:t>
      </w:r>
      <w:r>
        <w:t>に関連するものを含め、</w:t>
      </w:r>
      <w:r w:rsidR="00274DCA">
        <w:t>障害のある人</w:t>
      </w:r>
      <w:r>
        <w:t>への医療、ハビリテーションおよびリハビリテーションへのアクセスを拒否できないことを意味</w:t>
      </w:r>
      <w:r w:rsidR="003F6448">
        <w:t>する</w:t>
      </w:r>
      <w:r>
        <w:t>。</w:t>
      </w:r>
    </w:p>
    <w:p w:rsidR="00720EAA" w:rsidRDefault="00720EAA" w:rsidP="002F40B6"/>
    <w:p w:rsidR="002F40B6" w:rsidRDefault="002F40B6" w:rsidP="002F40B6">
      <w:r>
        <w:t>84.</w:t>
      </w:r>
      <w:r w:rsidR="00744D33">
        <w:t xml:space="preserve"> </w:t>
      </w:r>
      <w:r>
        <w:t>一般的意見</w:t>
      </w:r>
      <w:r w:rsidR="008C6349">
        <w:rPr>
          <w:rFonts w:hint="eastAsia"/>
        </w:rPr>
        <w:t>No.</w:t>
      </w:r>
      <w:r>
        <w:t>2において委員会は、医療サービスは障害のある人にとってアクセス可能でなければならず、アクセシビリティの</w:t>
      </w:r>
      <w:r w:rsidR="008C6349">
        <w:rPr>
          <w:rFonts w:hint="eastAsia"/>
        </w:rPr>
        <w:t>ジェンダー</w:t>
      </w:r>
      <w:r>
        <w:t>の側面を考慮に入れなければならないことに留意した</w:t>
      </w:r>
      <w:r w:rsidR="006A7DDE">
        <w:rPr>
          <w:rStyle w:val="ac"/>
          <w:rFonts w:cs="Arial"/>
        </w:rPr>
        <w:footnoteReference w:id="257"/>
      </w:r>
      <w:r>
        <w:t>。後に、</w:t>
      </w:r>
      <w:r w:rsidR="00B61E9E">
        <w:t>一般的意見</w:t>
      </w:r>
      <w:r>
        <w:t>No. 6で、一般的な医療施設とサービスはアクセス可能であるだけでなく、</w:t>
      </w:r>
      <w:r w:rsidR="008C6349">
        <w:t>障害のある人が</w:t>
      </w:r>
      <w:r w:rsidR="008C6349">
        <w:rPr>
          <w:rFonts w:hint="eastAsia"/>
        </w:rPr>
        <w:t>地域社会の中で実際に</w:t>
      </w:r>
      <w:r>
        <w:t>利用でき、適応性があり、受け入れられ、</w:t>
      </w:r>
      <w:r w:rsidR="008C6349">
        <w:t>入院、手術、医療相談</w:t>
      </w:r>
      <w:r w:rsidR="008C6349">
        <w:rPr>
          <w:rFonts w:hint="eastAsia"/>
        </w:rPr>
        <w:t>において</w:t>
      </w:r>
      <w:r>
        <w:t>一部の</w:t>
      </w:r>
      <w:r w:rsidR="00274DCA">
        <w:t>障害のある人</w:t>
      </w:r>
      <w:r>
        <w:t>が必要とする</w:t>
      </w:r>
      <w:r w:rsidR="008C6349">
        <w:rPr>
          <w:rFonts w:hint="eastAsia"/>
        </w:rPr>
        <w:t>支援</w:t>
      </w:r>
      <w:r>
        <w:t>を含む</w:t>
      </w:r>
      <w:r w:rsidR="008C6349">
        <w:t>必要があ</w:t>
      </w:r>
      <w:r w:rsidR="008C6349">
        <w:rPr>
          <w:rFonts w:hint="eastAsia"/>
        </w:rPr>
        <w:t>ると</w:t>
      </w:r>
      <w:r w:rsidR="003F6448">
        <w:t>した</w:t>
      </w:r>
      <w:r>
        <w:t>。病院と自宅での看護師、理学療法士、精神科医、または心理</w:t>
      </w:r>
      <w:r w:rsidR="0057299E">
        <w:rPr>
          <w:rFonts w:hint="eastAsia"/>
        </w:rPr>
        <w:t>専門職</w:t>
      </w:r>
      <w:r>
        <w:t>の提供は、第25条に基づく締約国の義</w:t>
      </w:r>
      <w:r>
        <w:rPr>
          <w:rFonts w:hint="eastAsia"/>
        </w:rPr>
        <w:t>務の履行の一部であることに留意した</w:t>
      </w:r>
      <w:r w:rsidR="006A7DDE">
        <w:rPr>
          <w:rStyle w:val="ac"/>
          <w:rFonts w:cs="Arial"/>
        </w:rPr>
        <w:footnoteReference w:id="258"/>
      </w:r>
      <w:r>
        <w:rPr>
          <w:rFonts w:hint="eastAsia"/>
        </w:rPr>
        <w:t>。</w:t>
      </w:r>
      <w:r w:rsidR="0057299E">
        <w:t>HM</w:t>
      </w:r>
      <w:r w:rsidR="0057299E">
        <w:rPr>
          <w:rFonts w:hint="eastAsia"/>
        </w:rPr>
        <w:t>対</w:t>
      </w:r>
      <w:r>
        <w:rPr>
          <w:rFonts w:hint="eastAsia"/>
        </w:rPr>
        <w:t>スウェーデン</w:t>
      </w:r>
      <w:r w:rsidR="0057299E">
        <w:rPr>
          <w:rFonts w:hint="eastAsia"/>
        </w:rPr>
        <w:t>の事例で</w:t>
      </w:r>
      <w:r>
        <w:t>委員会は、</w:t>
      </w:r>
      <w:r w:rsidR="0057299E">
        <w:t>大きなリスクなしに家を出ることができな</w:t>
      </w:r>
      <w:r w:rsidR="0057299E">
        <w:rPr>
          <w:rFonts w:hint="eastAsia"/>
        </w:rPr>
        <w:t>い</w:t>
      </w:r>
      <w:r w:rsidR="0057299E">
        <w:t>変性疾患のある女性に</w:t>
      </w:r>
      <w:r w:rsidR="0057299E">
        <w:rPr>
          <w:rFonts w:hint="eastAsia"/>
        </w:rPr>
        <w:t>対して、</w:t>
      </w:r>
      <w:r>
        <w:t>地方自治体</w:t>
      </w:r>
      <w:r w:rsidR="0057299E">
        <w:rPr>
          <w:rFonts w:hint="eastAsia"/>
        </w:rPr>
        <w:t>が</w:t>
      </w:r>
      <w:r>
        <w:t>、リハビリテーションと健康維持のため</w:t>
      </w:r>
      <w:r w:rsidR="0057299E">
        <w:rPr>
          <w:rFonts w:hint="eastAsia"/>
        </w:rPr>
        <w:t>の</w:t>
      </w:r>
      <w:r>
        <w:t>水治療</w:t>
      </w:r>
      <w:r w:rsidR="0057299E">
        <w:rPr>
          <w:rFonts w:hint="eastAsia"/>
        </w:rPr>
        <w:t>法用</w:t>
      </w:r>
      <w:r>
        <w:t>プールを自分の所有地に設置する建築</w:t>
      </w:r>
      <w:r w:rsidR="0057299E">
        <w:rPr>
          <w:rFonts w:hint="eastAsia"/>
        </w:rPr>
        <w:t>の</w:t>
      </w:r>
      <w:r>
        <w:t>許可を拒否し</w:t>
      </w:r>
      <w:r w:rsidR="0057299E">
        <w:rPr>
          <w:rFonts w:hint="eastAsia"/>
        </w:rPr>
        <w:t>たことは</w:t>
      </w:r>
      <w:r>
        <w:t>、CRPD違反</w:t>
      </w:r>
      <w:r w:rsidR="0057299E">
        <w:rPr>
          <w:rFonts w:hint="eastAsia"/>
        </w:rPr>
        <w:t>だと判断した</w:t>
      </w:r>
      <w:r w:rsidR="006A7DDE">
        <w:rPr>
          <w:rStyle w:val="ac"/>
          <w:rFonts w:cs="Arial"/>
        </w:rPr>
        <w:footnoteReference w:id="259"/>
      </w:r>
      <w:r w:rsidR="0057299E">
        <w:rPr>
          <w:rFonts w:hint="eastAsia"/>
        </w:rPr>
        <w:t>。</w:t>
      </w:r>
    </w:p>
    <w:p w:rsidR="00720EAA" w:rsidRDefault="00720EAA" w:rsidP="002F40B6"/>
    <w:p w:rsidR="00AF1B71" w:rsidRDefault="002F40B6" w:rsidP="002F40B6">
      <w:r>
        <w:t>85.</w:t>
      </w:r>
      <w:r w:rsidR="00744D33">
        <w:t xml:space="preserve"> </w:t>
      </w:r>
      <w:r>
        <w:t>「生殖の権利」は委員会の最初の</w:t>
      </w:r>
      <w:r w:rsidR="00B61E9E">
        <w:t>一般的意見</w:t>
      </w:r>
      <w:r>
        <w:t>で言及されており</w:t>
      </w:r>
      <w:r w:rsidR="006A7DDE">
        <w:rPr>
          <w:rStyle w:val="ac"/>
          <w:rFonts w:cs="Arial"/>
        </w:rPr>
        <w:footnoteReference w:id="260"/>
      </w:r>
      <w:r>
        <w:t>、</w:t>
      </w:r>
      <w:r w:rsidR="0057299E">
        <w:rPr>
          <w:rFonts w:hint="eastAsia"/>
        </w:rPr>
        <w:t>その後の総括所見</w:t>
      </w:r>
      <w:r>
        <w:t>と</w:t>
      </w:r>
      <w:r w:rsidR="00B61E9E">
        <w:t>一般的意見</w:t>
      </w:r>
      <w:r>
        <w:t>で</w:t>
      </w:r>
      <w:r w:rsidR="0057299E">
        <w:rPr>
          <w:rFonts w:hint="eastAsia"/>
        </w:rPr>
        <w:t>は</w:t>
      </w:r>
      <w:r>
        <w:t>「性と生殖に関する健康と権利」と続けて言及され</w:t>
      </w:r>
      <w:r w:rsidR="0057299E">
        <w:rPr>
          <w:rFonts w:hint="eastAsia"/>
        </w:rPr>
        <w:t>てき</w:t>
      </w:r>
      <w:r>
        <w:t>た</w:t>
      </w:r>
      <w:r w:rsidR="006A7DDE">
        <w:rPr>
          <w:rStyle w:val="ac"/>
          <w:rFonts w:cs="Arial"/>
        </w:rPr>
        <w:footnoteReference w:id="261"/>
      </w:r>
      <w:r>
        <w:t>。委員会は、特に障害のある女性がその権利を確保することは特に重要であると指摘した。なぜなら、彼らはしばしば</w:t>
      </w:r>
      <w:r w:rsidR="0057299E">
        <w:rPr>
          <w:rFonts w:hint="eastAsia"/>
        </w:rPr>
        <w:t>無性愛（</w:t>
      </w:r>
      <w:r w:rsidR="0057299E" w:rsidRPr="0057299E">
        <w:t>asexual</w:t>
      </w:r>
      <w:r w:rsidR="0057299E">
        <w:rPr>
          <w:rFonts w:hint="eastAsia"/>
        </w:rPr>
        <w:t>）</w:t>
      </w:r>
      <w:r>
        <w:t>または性的過剰</w:t>
      </w:r>
      <w:r w:rsidR="006A7DDE">
        <w:rPr>
          <w:rStyle w:val="ac"/>
          <w:rFonts w:cs="Arial"/>
        </w:rPr>
        <w:footnoteReference w:id="262"/>
      </w:r>
      <w:r w:rsidR="0057299E">
        <w:rPr>
          <w:rFonts w:hint="eastAsia"/>
        </w:rPr>
        <w:t>、あるいは</w:t>
      </w:r>
      <w:r w:rsidR="0057299E">
        <w:t>性交に同意できない</w:t>
      </w:r>
      <w:r w:rsidR="006A7DDE">
        <w:rPr>
          <w:rStyle w:val="ac"/>
          <w:rFonts w:cs="Arial"/>
        </w:rPr>
        <w:footnoteReference w:id="263"/>
      </w:r>
      <w:r>
        <w:t>と描</w:t>
      </w:r>
      <w:r w:rsidR="0057299E">
        <w:rPr>
          <w:rFonts w:hint="eastAsia"/>
        </w:rPr>
        <w:t>か</w:t>
      </w:r>
      <w:r>
        <w:t>れる</w:t>
      </w:r>
      <w:r w:rsidR="0057299E">
        <w:rPr>
          <w:rFonts w:hint="eastAsia"/>
        </w:rPr>
        <w:t>固定観念</w:t>
      </w:r>
      <w:r>
        <w:t>の犠牲者であるからである。締約国は、</w:t>
      </w:r>
      <w:r w:rsidR="0057299E">
        <w:t>障害のある人の</w:t>
      </w:r>
      <w:r>
        <w:t>生殖と性の両方の健康と権利を確保すべきである。例えば、HIV / AIDSおよびその他の性感染症</w:t>
      </w:r>
      <w:r w:rsidR="006A7DDE">
        <w:rPr>
          <w:rStyle w:val="ac"/>
          <w:rFonts w:cs="Arial"/>
        </w:rPr>
        <w:footnoteReference w:id="264"/>
      </w:r>
      <w:r>
        <w:t>に関する情報を含む性</w:t>
      </w:r>
      <w:r w:rsidR="0057299E">
        <w:rPr>
          <w:rFonts w:hint="eastAsia"/>
        </w:rPr>
        <w:t>と生殖の健康と</w:t>
      </w:r>
      <w:r>
        <w:rPr>
          <w:rFonts w:hint="eastAsia"/>
        </w:rPr>
        <w:t>権利に関する情報が</w:t>
      </w:r>
      <w:r w:rsidR="00274DCA">
        <w:rPr>
          <w:rFonts w:hint="eastAsia"/>
        </w:rPr>
        <w:t>障害のある人</w:t>
      </w:r>
      <w:r>
        <w:rPr>
          <w:rFonts w:hint="eastAsia"/>
        </w:rPr>
        <w:t>に提供され、障害のある女性が安全な中絶のためのサービスに平等にアクセスできることを保証する必要が</w:t>
      </w:r>
      <w:r w:rsidR="003F6448">
        <w:rPr>
          <w:rFonts w:hint="eastAsia"/>
        </w:rPr>
        <w:t>ある</w:t>
      </w:r>
      <w:r w:rsidR="006A7DDE">
        <w:rPr>
          <w:rStyle w:val="ac"/>
          <w:rFonts w:cs="Arial"/>
        </w:rPr>
        <w:footnoteReference w:id="265"/>
      </w:r>
      <w:r>
        <w:rPr>
          <w:rFonts w:hint="eastAsia"/>
        </w:rPr>
        <w:t>。</w:t>
      </w:r>
    </w:p>
    <w:p w:rsidR="002F40B6" w:rsidRDefault="002F40B6" w:rsidP="002F40B6"/>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hint="eastAsia"/>
          <w:b/>
          <w:bCs/>
        </w:rPr>
        <w:t>非自発的な治療と</w:t>
      </w:r>
      <w:r w:rsidR="00A32FE8">
        <w:rPr>
          <w:rFonts w:ascii="ＭＳ ゴシック" w:eastAsia="ＭＳ ゴシック" w:hAnsi="ＭＳ ゴシック" w:hint="eastAsia"/>
          <w:b/>
          <w:bCs/>
        </w:rPr>
        <w:t>入所</w:t>
      </w:r>
      <w:r w:rsidRPr="00FF6309">
        <w:rPr>
          <w:rFonts w:ascii="ＭＳ ゴシック" w:eastAsia="ＭＳ ゴシック" w:hAnsi="ＭＳ ゴシック" w:hint="eastAsia"/>
          <w:b/>
          <w:bCs/>
        </w:rPr>
        <w:t>の禁止</w:t>
      </w:r>
    </w:p>
    <w:p w:rsidR="00720EAA" w:rsidRDefault="00720EAA" w:rsidP="002F40B6"/>
    <w:p w:rsidR="002F40B6" w:rsidRDefault="002F40B6" w:rsidP="002F40B6">
      <w:r w:rsidRPr="000A2D64">
        <w:t>86.</w:t>
      </w:r>
      <w:r w:rsidR="00744D33" w:rsidRPr="000A2D64">
        <w:t xml:space="preserve"> </w:t>
      </w:r>
      <w:r w:rsidRPr="000A2D64">
        <w:t>条約の第12条</w:t>
      </w:r>
      <w:r>
        <w:t>、14条、および15条に沿って、委員会は、</w:t>
      </w:r>
      <w:r w:rsidR="00A32FE8">
        <w:rPr>
          <w:rFonts w:hint="eastAsia"/>
        </w:rPr>
        <w:t>その</w:t>
      </w:r>
      <w:r>
        <w:t>人の危険性の疑い、または</w:t>
      </w:r>
      <w:r w:rsidR="00A32FE8">
        <w:rPr>
          <w:rFonts w:hint="eastAsia"/>
        </w:rPr>
        <w:t>機能障害</w:t>
      </w:r>
      <w:r>
        <w:t>に基づくその他の要素</w:t>
      </w:r>
      <w:r w:rsidR="00A32FE8">
        <w:rPr>
          <w:rFonts w:hint="eastAsia"/>
        </w:rPr>
        <w:t>を理由とした</w:t>
      </w:r>
      <w:r>
        <w:t>、医療施設でのあらゆる形態の非自発的治療および拘留を禁止</w:t>
      </w:r>
      <w:r w:rsidR="003F6448">
        <w:t>する</w:t>
      </w:r>
      <w:r>
        <w:t>。法律</w:t>
      </w:r>
      <w:r w:rsidR="00A32FE8">
        <w:rPr>
          <w:rFonts w:hint="eastAsia"/>
        </w:rPr>
        <w:t>の</w:t>
      </w:r>
      <w:r>
        <w:t>前</w:t>
      </w:r>
      <w:r w:rsidR="00A32FE8">
        <w:rPr>
          <w:rFonts w:hint="eastAsia"/>
        </w:rPr>
        <w:t>で</w:t>
      </w:r>
      <w:r>
        <w:t>の平等</w:t>
      </w:r>
      <w:r w:rsidR="00A32FE8">
        <w:rPr>
          <w:rFonts w:hint="eastAsia"/>
        </w:rPr>
        <w:t>な</w:t>
      </w:r>
      <w:r>
        <w:t>認識に関する一般的意見</w:t>
      </w:r>
      <w:r w:rsidR="00A32FE8">
        <w:rPr>
          <w:rFonts w:hint="eastAsia"/>
        </w:rPr>
        <w:t>No.</w:t>
      </w:r>
      <w:r>
        <w:t>1において委員会は、精神</w:t>
      </w:r>
      <w:r w:rsidR="00A32FE8">
        <w:rPr>
          <w:rFonts w:hint="eastAsia"/>
        </w:rPr>
        <w:t>科医</w:t>
      </w:r>
      <w:r>
        <w:t>およびその他の</w:t>
      </w:r>
      <w:r w:rsidR="00A32FE8">
        <w:rPr>
          <w:rFonts w:hint="eastAsia"/>
        </w:rPr>
        <w:t>保健</w:t>
      </w:r>
      <w:r>
        <w:t>医療専門家による強制治療は、法律</w:t>
      </w:r>
      <w:r w:rsidR="00A32FE8">
        <w:rPr>
          <w:rFonts w:hint="eastAsia"/>
        </w:rPr>
        <w:t>の</w:t>
      </w:r>
      <w:r>
        <w:t>前</w:t>
      </w:r>
      <w:r w:rsidR="00A32FE8">
        <w:rPr>
          <w:rFonts w:hint="eastAsia"/>
        </w:rPr>
        <w:t>で</w:t>
      </w:r>
      <w:r>
        <w:t>の平等</w:t>
      </w:r>
      <w:r w:rsidR="00A32FE8">
        <w:rPr>
          <w:rFonts w:hint="eastAsia"/>
        </w:rPr>
        <w:t>な</w:t>
      </w:r>
      <w:r>
        <w:t>認識の権利（第12条）</w:t>
      </w:r>
      <w:r w:rsidR="000A2D64">
        <w:rPr>
          <w:rStyle w:val="ac"/>
          <w:rFonts w:cs="Arial"/>
        </w:rPr>
        <w:footnoteReference w:id="266"/>
      </w:r>
      <w:r>
        <w:t>、個人</w:t>
      </w:r>
      <w:r w:rsidR="00274DCA">
        <w:rPr>
          <w:rFonts w:hint="eastAsia"/>
        </w:rPr>
        <w:t>をそのままの状態で保護すること</w:t>
      </w:r>
      <w:r>
        <w:t>（第17条） 、拷問からの自由（第15条）、暴力、搾取</w:t>
      </w:r>
      <w:r w:rsidR="000A2D64">
        <w:rPr>
          <w:rFonts w:hint="eastAsia"/>
        </w:rPr>
        <w:t>、</w:t>
      </w:r>
      <w:r>
        <w:t>虐待からの自由（第16条）</w:t>
      </w:r>
      <w:r w:rsidR="00A32FE8">
        <w:t>の侵害であると強調した</w:t>
      </w:r>
      <w:r w:rsidR="000A2D64">
        <w:rPr>
          <w:rStyle w:val="ac"/>
          <w:rFonts w:cs="Arial"/>
        </w:rPr>
        <w:footnoteReference w:id="267"/>
      </w:r>
      <w:r>
        <w:t>。委員会はまた、第14条のガイドラインにおいて、精神</w:t>
      </w:r>
      <w:r>
        <w:rPr>
          <w:rFonts w:hint="eastAsia"/>
        </w:rPr>
        <w:t>保健機関への非自発的および合意</w:t>
      </w:r>
      <w:r w:rsidR="00A32FE8">
        <w:rPr>
          <w:rFonts w:hint="eastAsia"/>
        </w:rPr>
        <w:t>のない引き渡し、</w:t>
      </w:r>
      <w:r>
        <w:rPr>
          <w:rFonts w:hint="eastAsia"/>
        </w:rPr>
        <w:t>および自由の剥奪中の合意</w:t>
      </w:r>
      <w:r w:rsidR="00A32FE8">
        <w:rPr>
          <w:rFonts w:hint="eastAsia"/>
        </w:rPr>
        <w:t>のない治療</w:t>
      </w:r>
      <w:r>
        <w:rPr>
          <w:rFonts w:hint="eastAsia"/>
        </w:rPr>
        <w:t>を非難した</w:t>
      </w:r>
      <w:r w:rsidR="000A2D64">
        <w:rPr>
          <w:rStyle w:val="ac"/>
          <w:rFonts w:cs="Arial"/>
        </w:rPr>
        <w:footnoteReference w:id="268"/>
      </w:r>
      <w:r>
        <w:rPr>
          <w:rFonts w:hint="eastAsia"/>
        </w:rPr>
        <w:t>。</w:t>
      </w:r>
      <w:r w:rsidR="00A32FE8">
        <w:rPr>
          <w:rFonts w:hint="eastAsia"/>
        </w:rPr>
        <w:t>近</w:t>
      </w:r>
      <w:r>
        <w:rPr>
          <w:rFonts w:hint="eastAsia"/>
        </w:rPr>
        <w:t>年委員会は、</w:t>
      </w:r>
      <w:r w:rsidR="00A465C1">
        <w:rPr>
          <w:rFonts w:hint="eastAsia"/>
        </w:rPr>
        <w:t>「非自発的な入所と治療にかかわる精神障害のある人の人権と尊厳の保護」に関する</w:t>
      </w:r>
      <w:r>
        <w:rPr>
          <w:rFonts w:hint="eastAsia"/>
        </w:rPr>
        <w:t>欧州評議会</w:t>
      </w:r>
      <w:r w:rsidR="00A32FE8">
        <w:rPr>
          <w:rFonts w:hint="eastAsia"/>
        </w:rPr>
        <w:t>の</w:t>
      </w:r>
      <w:r>
        <w:rPr>
          <w:rFonts w:hint="eastAsia"/>
        </w:rPr>
        <w:t>条約</w:t>
      </w:r>
      <w:r w:rsidR="00A32FE8">
        <w:rPr>
          <w:rFonts w:hint="eastAsia"/>
        </w:rPr>
        <w:t>「</w:t>
      </w:r>
      <w:r>
        <w:rPr>
          <w:rFonts w:hint="eastAsia"/>
        </w:rPr>
        <w:t>生物学と医学の適用に関する人権と人間の尊厳の保護：</w:t>
      </w:r>
      <w:r w:rsidR="00A32FE8">
        <w:rPr>
          <w:rFonts w:hint="eastAsia"/>
        </w:rPr>
        <w:t>精神障害のある人の</w:t>
      </w:r>
      <w:r>
        <w:rPr>
          <w:rFonts w:hint="eastAsia"/>
        </w:rPr>
        <w:t>不本意な</w:t>
      </w:r>
      <w:r w:rsidR="00A32FE8">
        <w:rPr>
          <w:rFonts w:hint="eastAsia"/>
        </w:rPr>
        <w:t>入所</w:t>
      </w:r>
      <w:r>
        <w:rPr>
          <w:rFonts w:hint="eastAsia"/>
        </w:rPr>
        <w:t>に関する人権と尊厳の保護に関する人権と生物医学に関する条約（オビエド条約）」</w:t>
      </w:r>
      <w:r w:rsidR="00A32FE8">
        <w:rPr>
          <w:rFonts w:hint="eastAsia"/>
        </w:rPr>
        <w:t>の追加議定書の採択に反対した。</w:t>
      </w:r>
      <w:r w:rsidR="00A465C1">
        <w:rPr>
          <w:rFonts w:hint="eastAsia"/>
        </w:rPr>
        <w:t>これは</w:t>
      </w:r>
      <w:r>
        <w:t>CRPDの</w:t>
      </w:r>
      <w:r w:rsidR="00A465C1">
        <w:rPr>
          <w:rFonts w:hint="eastAsia"/>
        </w:rPr>
        <w:t>文字通りの意味にも</w:t>
      </w:r>
      <w:r>
        <w:t>精神に</w:t>
      </w:r>
      <w:r w:rsidR="00A465C1">
        <w:rPr>
          <w:rFonts w:hint="eastAsia"/>
        </w:rPr>
        <w:t>も</w:t>
      </w:r>
      <w:r>
        <w:t>反</w:t>
      </w:r>
      <w:r w:rsidR="00A465C1">
        <w:rPr>
          <w:rFonts w:hint="eastAsia"/>
        </w:rPr>
        <w:t>している</w:t>
      </w:r>
      <w:r w:rsidR="000A2D64">
        <w:rPr>
          <w:rStyle w:val="ac"/>
          <w:rFonts w:cs="Arial"/>
        </w:rPr>
        <w:footnoteReference w:id="269"/>
      </w:r>
      <w:r>
        <w:t>。</w:t>
      </w:r>
    </w:p>
    <w:p w:rsidR="00720EAA" w:rsidRDefault="00720EAA" w:rsidP="002F40B6"/>
    <w:p w:rsidR="002F40B6" w:rsidRDefault="002F40B6" w:rsidP="002F40B6">
      <w:r>
        <w:t>87.</w:t>
      </w:r>
      <w:r w:rsidR="00744D33">
        <w:t xml:space="preserve"> </w:t>
      </w:r>
      <w:r>
        <w:t>さらに、委員会は、締約国に対し、あらゆる形態の強制</w:t>
      </w:r>
      <w:r w:rsidR="00A465C1">
        <w:rPr>
          <w:rFonts w:hint="eastAsia"/>
        </w:rPr>
        <w:t>不妊措置</w:t>
      </w:r>
      <w:r>
        <w:t>および医学的またはホルモン</w:t>
      </w:r>
      <w:r w:rsidR="0017720A">
        <w:rPr>
          <w:rFonts w:hint="eastAsia"/>
        </w:rPr>
        <w:t>療法</w:t>
      </w:r>
      <w:r>
        <w:t>の介入（例、ロボトミーまたはアシュリー</w:t>
      </w:r>
      <w:r w:rsidR="0017720A">
        <w:rPr>
          <w:rFonts w:hint="eastAsia"/>
        </w:rPr>
        <w:t>療法</w:t>
      </w:r>
      <w:r>
        <w:t>）、強制</w:t>
      </w:r>
      <w:r w:rsidR="0017720A">
        <w:rPr>
          <w:rFonts w:hint="eastAsia"/>
        </w:rPr>
        <w:t>的中絶</w:t>
      </w:r>
      <w:r>
        <w:t>、合意</w:t>
      </w:r>
      <w:r w:rsidR="0017720A">
        <w:rPr>
          <w:rFonts w:hint="eastAsia"/>
        </w:rPr>
        <w:t>のない</w:t>
      </w:r>
      <w:r>
        <w:t>避妊、</w:t>
      </w:r>
      <w:r w:rsidR="0017720A">
        <w:t>「性的行動を制御する」</w:t>
      </w:r>
      <w:r>
        <w:t>薬物</w:t>
      </w:r>
      <w:r w:rsidR="000A2D64">
        <w:rPr>
          <w:rStyle w:val="ac"/>
          <w:rFonts w:cs="Arial"/>
          <w:lang w:val="en-GB"/>
        </w:rPr>
        <w:footnoteReference w:id="270"/>
      </w:r>
      <w:r>
        <w:t>を含む強制薬物投与</w:t>
      </w:r>
      <w:r w:rsidR="0017720A">
        <w:t>および強制的電気ショック</w:t>
      </w:r>
      <w:r w:rsidR="000A2D64">
        <w:rPr>
          <w:rStyle w:val="ac"/>
          <w:rFonts w:cs="Arial"/>
        </w:rPr>
        <w:footnoteReference w:id="271"/>
      </w:r>
      <w:r>
        <w:t>の禁止を勧告した。また女性の性器切除、</w:t>
      </w:r>
      <w:r w:rsidR="0017720A">
        <w:rPr>
          <w:rFonts w:hint="eastAsia"/>
        </w:rPr>
        <w:t>そして</w:t>
      </w:r>
      <w:r>
        <w:t>インフォームドコンセントなしでインターセックスの子</w:t>
      </w:r>
      <w:r w:rsidR="0017720A">
        <w:rPr>
          <w:rFonts w:hint="eastAsia"/>
        </w:rPr>
        <w:t>ども</w:t>
      </w:r>
      <w:r>
        <w:t>に施された</w:t>
      </w:r>
      <w:r w:rsidR="0017720A">
        <w:t>手術</w:t>
      </w:r>
      <w:r w:rsidR="0017720A">
        <w:rPr>
          <w:rFonts w:hint="eastAsia"/>
        </w:rPr>
        <w:t>または</w:t>
      </w:r>
      <w:r>
        <w:t>治療を非難</w:t>
      </w:r>
      <w:r w:rsidR="003F6448">
        <w:t>した</w:t>
      </w:r>
      <w:r w:rsidR="000A2D64">
        <w:rPr>
          <w:rStyle w:val="ac"/>
          <w:rFonts w:cs="Arial"/>
        </w:rPr>
        <w:footnoteReference w:id="272"/>
      </w:r>
      <w:r>
        <w:t>。多くの場合、これらの慣行は拷問、残酷、非人道的または品位を傷つける処罰に相当すると考え</w:t>
      </w:r>
      <w:r w:rsidR="003F6448">
        <w:t>た</w:t>
      </w:r>
      <w:r w:rsidR="000A2D64">
        <w:rPr>
          <w:rStyle w:val="ac"/>
          <w:rFonts w:cs="Arial"/>
          <w:bCs/>
          <w:lang w:val="en-GB"/>
        </w:rPr>
        <w:footnoteReference w:id="273"/>
      </w:r>
      <w:r>
        <w:t>。</w:t>
      </w:r>
    </w:p>
    <w:p w:rsidR="00720EAA" w:rsidRDefault="00720EAA" w:rsidP="002F40B6">
      <w:pPr>
        <w:rPr>
          <w:b/>
          <w:bCs/>
        </w:rPr>
      </w:pPr>
    </w:p>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b/>
          <w:bCs/>
        </w:rPr>
        <w:t>vii</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Pr="00FF6309">
        <w:rPr>
          <w:rFonts w:ascii="ＭＳ ゴシック" w:eastAsia="ＭＳ ゴシック" w:hAnsi="ＭＳ ゴシック"/>
          <w:b/>
          <w:bCs/>
        </w:rPr>
        <w:t>インクルーシブ教育（第24条）</w:t>
      </w:r>
    </w:p>
    <w:p w:rsidR="00720EAA" w:rsidRDefault="00720EAA" w:rsidP="002F40B6"/>
    <w:p w:rsidR="002F40B6" w:rsidRDefault="002F40B6" w:rsidP="002F40B6">
      <w:r>
        <w:t>88.</w:t>
      </w:r>
      <w:r w:rsidR="00744D33">
        <w:t xml:space="preserve"> </w:t>
      </w:r>
      <w:r>
        <w:t>条約第24条は締約国に、「あらゆるレベル</w:t>
      </w:r>
      <w:r w:rsidR="002F73CD">
        <w:t>と生涯学習</w:t>
      </w:r>
      <w:r>
        <w:t>のインクルーシブ教育システム」</w:t>
      </w:r>
      <w:r w:rsidR="002F73CD">
        <w:rPr>
          <w:rFonts w:hint="eastAsia"/>
        </w:rPr>
        <w:t>の</w:t>
      </w:r>
      <w:r>
        <w:t>確保を求めている。委員会は、この</w:t>
      </w:r>
      <w:r w:rsidR="002F73CD">
        <w:rPr>
          <w:rFonts w:hint="eastAsia"/>
        </w:rPr>
        <w:t>条項</w:t>
      </w:r>
      <w:r>
        <w:t>に基づく締約国の義務に関する追加</w:t>
      </w:r>
      <w:r w:rsidR="002F73CD">
        <w:rPr>
          <w:rFonts w:hint="eastAsia"/>
        </w:rPr>
        <w:t>の指針</w:t>
      </w:r>
      <w:r>
        <w:t>を、2016年に採択されたインクルーシブ教育に関する一般</w:t>
      </w:r>
      <w:r w:rsidR="00274DCA">
        <w:rPr>
          <w:rFonts w:hint="eastAsia"/>
        </w:rPr>
        <w:t>的意見</w:t>
      </w:r>
      <w:r>
        <w:t>No. 4で提供</w:t>
      </w:r>
      <w:r w:rsidR="003F6448">
        <w:t>した</w:t>
      </w:r>
      <w:r>
        <w:t>。</w:t>
      </w:r>
    </w:p>
    <w:p w:rsidR="00720EAA" w:rsidRDefault="00720EAA" w:rsidP="002F40B6"/>
    <w:p w:rsidR="002F40B6" w:rsidRDefault="002F40B6" w:rsidP="002F40B6">
      <w:r>
        <w:t>89.</w:t>
      </w:r>
      <w:r w:rsidR="00744D33">
        <w:t xml:space="preserve"> </w:t>
      </w:r>
      <w:r>
        <w:t>委員会は、その最も古い</w:t>
      </w:r>
      <w:r w:rsidR="002F73CD">
        <w:rPr>
          <w:rFonts w:hint="eastAsia"/>
        </w:rPr>
        <w:t>総括所見</w:t>
      </w:r>
      <w:r>
        <w:t>において、あらゆる形態の分離教育を明示的に禁止していなかったため、状況によっては障害児向けの専門学校が受け入れられるかどうかについていくらか混乱があった</w:t>
      </w:r>
      <w:r w:rsidR="000A2D64">
        <w:rPr>
          <w:rStyle w:val="ac"/>
          <w:rFonts w:cs="Arial"/>
        </w:rPr>
        <w:footnoteReference w:id="274"/>
      </w:r>
      <w:r>
        <w:t>。</w:t>
      </w:r>
      <w:r w:rsidR="002F73CD">
        <w:rPr>
          <w:rFonts w:hint="eastAsia"/>
        </w:rPr>
        <w:t>その後</w:t>
      </w:r>
      <w:r>
        <w:t>委員会は、排他的かつ分離された教育が、条約に違反する障害に基づく差別の一形態</w:t>
      </w:r>
      <w:r w:rsidR="002F73CD">
        <w:rPr>
          <w:rFonts w:hint="eastAsia"/>
        </w:rPr>
        <w:t>である</w:t>
      </w:r>
      <w:r>
        <w:t>と明示的に述べ</w:t>
      </w:r>
      <w:r w:rsidR="003F6448">
        <w:t>た</w:t>
      </w:r>
      <w:r w:rsidR="000A2D64">
        <w:rPr>
          <w:rStyle w:val="ac"/>
          <w:rFonts w:cs="Arial"/>
        </w:rPr>
        <w:footnoteReference w:id="275"/>
      </w:r>
      <w:r>
        <w:t>。委員会は</w:t>
      </w:r>
      <w:r w:rsidR="00B61E9E">
        <w:t>一般的意見</w:t>
      </w:r>
      <w:r>
        <w:t>No. 4で、教育の</w:t>
      </w:r>
      <w:r w:rsidR="0055408B">
        <w:rPr>
          <w:rFonts w:hint="eastAsia"/>
        </w:rPr>
        <w:t>財政</w:t>
      </w:r>
      <w:r>
        <w:t>、管理、設計、実施、監視のための</w:t>
      </w:r>
      <w:r w:rsidR="002F73CD">
        <w:rPr>
          <w:rFonts w:hint="eastAsia"/>
        </w:rPr>
        <w:t>国</w:t>
      </w:r>
      <w:r>
        <w:t>の法律、政策、およびメカニズムにおける教育システムの徹底的な変革を必要とすることに留意して</w:t>
      </w:r>
      <w:r w:rsidR="000A2D64">
        <w:rPr>
          <w:rStyle w:val="ac"/>
          <w:rFonts w:cs="Arial"/>
        </w:rPr>
        <w:footnoteReference w:id="276"/>
      </w:r>
      <w:r>
        <w:t>、インクルーシブ教育</w:t>
      </w:r>
      <w:r>
        <w:rPr>
          <w:rFonts w:hint="eastAsia"/>
        </w:rPr>
        <w:t>の権利を詳細に定義</w:t>
      </w:r>
      <w:r w:rsidR="003F6448">
        <w:rPr>
          <w:rFonts w:hint="eastAsia"/>
        </w:rPr>
        <w:t>した</w:t>
      </w:r>
      <w:r w:rsidR="000A2D64">
        <w:rPr>
          <w:rStyle w:val="ac"/>
          <w:rFonts w:cs="Arial"/>
        </w:rPr>
        <w:footnoteReference w:id="277"/>
      </w:r>
      <w:r>
        <w:rPr>
          <w:rFonts w:hint="eastAsia"/>
        </w:rPr>
        <w:t>。分離された教育を</w:t>
      </w:r>
      <w:r w:rsidR="0055408B">
        <w:rPr>
          <w:rFonts w:hint="eastAsia"/>
        </w:rPr>
        <w:t>インクルーシブ</w:t>
      </w:r>
      <w:r>
        <w:rPr>
          <w:rFonts w:hint="eastAsia"/>
        </w:rPr>
        <w:t>教育に完全に置き換えることを締約国に勧告し</w:t>
      </w:r>
      <w:r w:rsidR="007B2F2E">
        <w:rPr>
          <w:rStyle w:val="ac"/>
          <w:rFonts w:cs="Arial"/>
        </w:rPr>
        <w:footnoteReference w:id="278"/>
      </w:r>
      <w:r>
        <w:rPr>
          <w:rFonts w:hint="eastAsia"/>
        </w:rPr>
        <w:t>、この義務は漸進的な実現の対象であるが、締約国は障害のある子どもの</w:t>
      </w:r>
      <w:r w:rsidR="0055408B">
        <w:rPr>
          <w:rFonts w:hint="eastAsia"/>
        </w:rPr>
        <w:t>通常</w:t>
      </w:r>
      <w:r>
        <w:rPr>
          <w:rFonts w:hint="eastAsia"/>
        </w:rPr>
        <w:t>学校</w:t>
      </w:r>
      <w:r w:rsidR="0055408B">
        <w:rPr>
          <w:rFonts w:hint="eastAsia"/>
        </w:rPr>
        <w:t>からの排除を</w:t>
      </w:r>
      <w:r>
        <w:rPr>
          <w:rFonts w:hint="eastAsia"/>
        </w:rPr>
        <w:t>直ちに</w:t>
      </w:r>
      <w:r w:rsidR="0055408B">
        <w:rPr>
          <w:rFonts w:hint="eastAsia"/>
        </w:rPr>
        <w:t>やめ</w:t>
      </w:r>
      <w:r>
        <w:rPr>
          <w:rFonts w:hint="eastAsia"/>
        </w:rPr>
        <w:t>、合理的</w:t>
      </w:r>
      <w:r w:rsidR="0055408B">
        <w:rPr>
          <w:rFonts w:hint="eastAsia"/>
        </w:rPr>
        <w:t>配慮</w:t>
      </w:r>
      <w:r>
        <w:rPr>
          <w:rFonts w:hint="eastAsia"/>
        </w:rPr>
        <w:t>を提供しなければならないことを強調した</w:t>
      </w:r>
      <w:r w:rsidR="007B2F2E">
        <w:rPr>
          <w:rStyle w:val="ac"/>
          <w:rFonts w:cs="Arial"/>
        </w:rPr>
        <w:footnoteReference w:id="279"/>
      </w:r>
      <w:r>
        <w:rPr>
          <w:rFonts w:hint="eastAsia"/>
        </w:rPr>
        <w:t>。</w:t>
      </w:r>
    </w:p>
    <w:p w:rsidR="00720EAA" w:rsidRDefault="00720EAA" w:rsidP="002F40B6"/>
    <w:p w:rsidR="002F40B6" w:rsidRDefault="002F40B6" w:rsidP="002F40B6">
      <w:r>
        <w:t xml:space="preserve">90. </w:t>
      </w:r>
      <w:r w:rsidR="00744D33">
        <w:t xml:space="preserve"> </w:t>
      </w:r>
      <w:r>
        <w:t>2018年6月、委員会はスペイン</w:t>
      </w:r>
      <w:r w:rsidR="0055408B">
        <w:rPr>
          <w:rFonts w:hint="eastAsia"/>
        </w:rPr>
        <w:t>に対する</w:t>
      </w:r>
      <w:r>
        <w:t>調査に関する報告書（CRPD/C/20/3）を発表し</w:t>
      </w:r>
      <w:r w:rsidR="0055408B">
        <w:rPr>
          <w:rFonts w:hint="eastAsia"/>
        </w:rPr>
        <w:t>た。このなかで、</w:t>
      </w:r>
      <w:r>
        <w:t>締約国は障害を理由に差別的排除と教育的隔離の構造的パターンを永続化させ</w:t>
      </w:r>
      <w:r w:rsidR="00662A28">
        <w:rPr>
          <w:rFonts w:hint="eastAsia"/>
        </w:rPr>
        <w:t>ていること</w:t>
      </w:r>
      <w:r>
        <w:t>、</w:t>
      </w:r>
      <w:r w:rsidR="00662A28">
        <w:rPr>
          <w:rFonts w:hint="eastAsia"/>
        </w:rPr>
        <w:t>とりわけ</w:t>
      </w:r>
      <w:r>
        <w:t>知的障害および心理社会的障害、および</w:t>
      </w:r>
      <w:r w:rsidR="00662A28">
        <w:rPr>
          <w:rFonts w:hint="eastAsia"/>
        </w:rPr>
        <w:t>重複</w:t>
      </w:r>
      <w:r>
        <w:t>障害</w:t>
      </w:r>
      <w:r w:rsidR="002620FB">
        <w:t>のある</w:t>
      </w:r>
      <w:r>
        <w:t>人</w:t>
      </w:r>
      <w:r w:rsidR="00352327">
        <w:rPr>
          <w:rFonts w:hint="eastAsia"/>
        </w:rPr>
        <w:t>に</w:t>
      </w:r>
      <w:r w:rsidR="00662A28">
        <w:rPr>
          <w:rFonts w:hint="eastAsia"/>
        </w:rPr>
        <w:t>大きな</w:t>
      </w:r>
      <w:r w:rsidR="00662A28">
        <w:t>影響を与えていること</w:t>
      </w:r>
      <w:r w:rsidR="00662A28">
        <w:rPr>
          <w:rFonts w:hint="eastAsia"/>
        </w:rPr>
        <w:t>を明らかにした。無</w:t>
      </w:r>
      <w:r>
        <w:t>差別</w:t>
      </w:r>
      <w:r w:rsidR="00662A28">
        <w:rPr>
          <w:rFonts w:hint="eastAsia"/>
        </w:rPr>
        <w:t>と機会均等</w:t>
      </w:r>
      <w:r>
        <w:t>の権利に基づく</w:t>
      </w:r>
      <w:r w:rsidR="00662A28">
        <w:rPr>
          <w:rFonts w:hint="eastAsia"/>
        </w:rPr>
        <w:t>インクルーシブなシ</w:t>
      </w:r>
      <w:r>
        <w:t>ステムは、障害のある学習者の</w:t>
      </w:r>
      <w:r w:rsidR="00352327">
        <w:rPr>
          <w:rFonts w:hint="eastAsia"/>
        </w:rPr>
        <w:t>ための分離した</w:t>
      </w:r>
      <w:r>
        <w:t>教育システムの廃止</w:t>
      </w:r>
      <w:r w:rsidR="00352327">
        <w:rPr>
          <w:rFonts w:hint="eastAsia"/>
        </w:rPr>
        <w:t>を</w:t>
      </w:r>
      <w:r>
        <w:t>必要</w:t>
      </w:r>
      <w:r w:rsidR="00352327">
        <w:rPr>
          <w:rFonts w:hint="eastAsia"/>
        </w:rPr>
        <w:t>とする</w:t>
      </w:r>
      <w:r>
        <w:t>と強調した</w:t>
      </w:r>
      <w:r w:rsidR="007B2F2E">
        <w:rPr>
          <w:rStyle w:val="ac"/>
          <w:rFonts w:cs="Arial"/>
          <w:lang w:val="en-GB"/>
        </w:rPr>
        <w:footnoteReference w:id="280"/>
      </w:r>
      <w:r>
        <w:t>。</w:t>
      </w:r>
    </w:p>
    <w:p w:rsidR="00720EAA" w:rsidRDefault="00720EAA" w:rsidP="002F40B6">
      <w:pPr>
        <w:rPr>
          <w:b/>
          <w:bCs/>
        </w:rPr>
      </w:pPr>
    </w:p>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b/>
          <w:bCs/>
        </w:rPr>
        <w:t>viii</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00274DCA">
        <w:rPr>
          <w:rFonts w:ascii="ＭＳ ゴシック" w:eastAsia="ＭＳ ゴシック" w:hAnsi="ＭＳ ゴシック" w:hint="eastAsia"/>
          <w:b/>
          <w:bCs/>
        </w:rPr>
        <w:t>危険な状況</w:t>
      </w:r>
      <w:r w:rsidR="00352327">
        <w:rPr>
          <w:rFonts w:ascii="ＭＳ ゴシック" w:eastAsia="ＭＳ ゴシック" w:hAnsi="ＭＳ ゴシック" w:hint="eastAsia"/>
          <w:b/>
          <w:bCs/>
        </w:rPr>
        <w:t>と</w:t>
      </w:r>
      <w:r w:rsidRPr="00FF6309">
        <w:rPr>
          <w:rFonts w:ascii="ＭＳ ゴシック" w:eastAsia="ＭＳ ゴシック" w:hAnsi="ＭＳ ゴシック"/>
          <w:b/>
          <w:bCs/>
        </w:rPr>
        <w:t>緊急事態（第11条）</w:t>
      </w:r>
    </w:p>
    <w:p w:rsidR="00720EAA" w:rsidRDefault="00720EAA" w:rsidP="002F40B6"/>
    <w:p w:rsidR="002F40B6" w:rsidRDefault="002F40B6" w:rsidP="002F40B6">
      <w:r>
        <w:t>91.</w:t>
      </w:r>
      <w:r w:rsidR="00744D33">
        <w:t xml:space="preserve"> </w:t>
      </w:r>
      <w:r>
        <w:t>委員会は、条約第11条に沿って、</w:t>
      </w:r>
      <w:r w:rsidR="00274DCA">
        <w:rPr>
          <w:rFonts w:hint="eastAsia"/>
        </w:rPr>
        <w:t>危険な状況</w:t>
      </w:r>
      <w:r>
        <w:t>と緊急事態における</w:t>
      </w:r>
      <w:r w:rsidR="00274DCA">
        <w:t>障害のある人</w:t>
      </w:r>
      <w:r>
        <w:t>の状況への対応に特に積極的</w:t>
      </w:r>
      <w:r w:rsidR="00662A28">
        <w:rPr>
          <w:rFonts w:hint="eastAsia"/>
        </w:rPr>
        <w:t>に取り組んできた。</w:t>
      </w:r>
      <w:r w:rsidR="00662A28">
        <w:t>第11条に関連した8つの声明を採択し</w:t>
      </w:r>
      <w:r w:rsidR="00662A28">
        <w:rPr>
          <w:rFonts w:hint="eastAsia"/>
        </w:rPr>
        <w:t>、そのうち6つは、</w:t>
      </w:r>
      <w:r>
        <w:t>過去または進行中の災害</w:t>
      </w:r>
      <w:r w:rsidR="007B2F2E" w:rsidRPr="00891FF8">
        <w:rPr>
          <w:rStyle w:val="ac"/>
          <w:rFonts w:cs="Arial"/>
        </w:rPr>
        <w:footnoteReference w:id="281"/>
      </w:r>
      <w:r>
        <w:t>または武力紛争</w:t>
      </w:r>
      <w:r w:rsidR="007B2F2E" w:rsidRPr="00891FF8">
        <w:rPr>
          <w:rStyle w:val="ac"/>
          <w:rFonts w:cs="Arial"/>
        </w:rPr>
        <w:footnoteReference w:id="282"/>
      </w:r>
      <w:r>
        <w:t>の影響を受けた国の</w:t>
      </w:r>
      <w:r w:rsidR="00274DCA">
        <w:t>障害のある人</w:t>
      </w:r>
      <w:r>
        <w:t>の特定の状況に関する</w:t>
      </w:r>
      <w:r w:rsidR="00662A28">
        <w:rPr>
          <w:rFonts w:hint="eastAsia"/>
        </w:rPr>
        <w:t>ものである</w:t>
      </w:r>
      <w:r>
        <w:t>。国際レベルでは、第3回</w:t>
      </w:r>
      <w:r w:rsidR="008F060F">
        <w:rPr>
          <w:rFonts w:hint="eastAsia"/>
        </w:rPr>
        <w:t>「</w:t>
      </w:r>
      <w:r>
        <w:t>災害リスク削減とその先</w:t>
      </w:r>
      <w:r w:rsidR="008F060F">
        <w:rPr>
          <w:rFonts w:hint="eastAsia"/>
        </w:rPr>
        <w:t>に関する</w:t>
      </w:r>
      <w:r>
        <w:t>世界会議</w:t>
      </w:r>
      <w:r w:rsidR="008F060F">
        <w:rPr>
          <w:rFonts w:hint="eastAsia"/>
        </w:rPr>
        <w:t>」</w:t>
      </w:r>
      <w:r w:rsidR="007B2F2E" w:rsidRPr="00891FF8">
        <w:rPr>
          <w:rStyle w:val="ac"/>
          <w:rFonts w:cs="Arial"/>
          <w:lang w:val="en-GB"/>
        </w:rPr>
        <w:footnoteReference w:id="283"/>
      </w:r>
      <w:r>
        <w:t>および</w:t>
      </w:r>
      <w:r w:rsidR="008F060F">
        <w:rPr>
          <w:rFonts w:hint="eastAsia"/>
        </w:rPr>
        <w:t>「</w:t>
      </w:r>
      <w:r>
        <w:t>世界人道サミット</w:t>
      </w:r>
      <w:r w:rsidR="008F060F">
        <w:rPr>
          <w:rFonts w:hint="eastAsia"/>
        </w:rPr>
        <w:t>」</w:t>
      </w:r>
      <w:r w:rsidR="007B2F2E" w:rsidRPr="00891FF8">
        <w:rPr>
          <w:rStyle w:val="ac"/>
          <w:rFonts w:cs="Arial"/>
          <w:lang w:val="en-GB"/>
        </w:rPr>
        <w:footnoteReference w:id="284"/>
      </w:r>
      <w:r w:rsidR="008F060F">
        <w:rPr>
          <w:rFonts w:hint="eastAsia"/>
        </w:rPr>
        <w:t>で</w:t>
      </w:r>
      <w:r>
        <w:t>障害</w:t>
      </w:r>
      <w:r w:rsidR="008F060F">
        <w:rPr>
          <w:rFonts w:hint="eastAsia"/>
        </w:rPr>
        <w:t>のインクルージョン</w:t>
      </w:r>
      <w:r>
        <w:t>を提唱</w:t>
      </w:r>
      <w:r w:rsidR="003F6448">
        <w:t>した</w:t>
      </w:r>
      <w:r>
        <w:t>。</w:t>
      </w:r>
    </w:p>
    <w:p w:rsidR="002F40B6" w:rsidRDefault="002F40B6" w:rsidP="002F40B6"/>
    <w:p w:rsidR="002F40B6" w:rsidRDefault="002F40B6" w:rsidP="002F40B6">
      <w:r>
        <w:t>92.</w:t>
      </w:r>
      <w:r w:rsidR="00744D33">
        <w:t xml:space="preserve"> </w:t>
      </w:r>
      <w:r w:rsidR="008F060F">
        <w:t>アクセシビリティに関する</w:t>
      </w:r>
      <w:r w:rsidR="00B61E9E">
        <w:t>一般的意見</w:t>
      </w:r>
      <w:r w:rsidR="008F060F">
        <w:rPr>
          <w:rFonts w:hint="eastAsia"/>
        </w:rPr>
        <w:t>No.</w:t>
      </w:r>
      <w:r>
        <w:t>2、自立生活と</w:t>
      </w:r>
      <w:r w:rsidR="00274DCA">
        <w:rPr>
          <w:rFonts w:hint="eastAsia"/>
        </w:rPr>
        <w:t>地域社会へのインクルージョン</w:t>
      </w:r>
      <w:r>
        <w:t>に関する</w:t>
      </w:r>
      <w:r w:rsidR="008F060F">
        <w:rPr>
          <w:rFonts w:hint="eastAsia"/>
        </w:rPr>
        <w:t>No.</w:t>
      </w:r>
      <w:r>
        <w:t>5、平等と</w:t>
      </w:r>
      <w:r w:rsidR="00650930">
        <w:t>無差別</w:t>
      </w:r>
      <w:r>
        <w:t>に関する</w:t>
      </w:r>
      <w:r w:rsidR="008F060F">
        <w:rPr>
          <w:rFonts w:hint="eastAsia"/>
        </w:rPr>
        <w:t>No.</w:t>
      </w:r>
      <w:r>
        <w:t>6</w:t>
      </w:r>
      <w:r w:rsidR="008F060F">
        <w:rPr>
          <w:rFonts w:hint="eastAsia"/>
        </w:rPr>
        <w:t>で</w:t>
      </w:r>
      <w:r>
        <w:t>、特に第11条について詳しく述べた。委員会は、</w:t>
      </w:r>
      <w:r w:rsidR="008F060F">
        <w:rPr>
          <w:rFonts w:hint="eastAsia"/>
        </w:rPr>
        <w:t>危機</w:t>
      </w:r>
      <w:r w:rsidR="008F060F">
        <w:t>と人道上の緊急事態</w:t>
      </w:r>
      <w:r w:rsidR="007B2F2E" w:rsidRPr="00891FF8">
        <w:rPr>
          <w:rStyle w:val="ac"/>
          <w:rFonts w:cs="Arial"/>
          <w:lang w:val="en-GB"/>
        </w:rPr>
        <w:footnoteReference w:id="285"/>
      </w:r>
      <w:r w:rsidR="008F060F">
        <w:t>のあらゆる状況で</w:t>
      </w:r>
      <w:r w:rsidR="008F060F">
        <w:rPr>
          <w:rFonts w:hint="eastAsia"/>
        </w:rPr>
        <w:t>、</w:t>
      </w:r>
      <w:r>
        <w:t>特に水、衛生、食料、避難所などの基本的な必需品への平等なアクセスに関して</w:t>
      </w:r>
      <w:r w:rsidR="007B2F2E" w:rsidRPr="00891FF8">
        <w:rPr>
          <w:rStyle w:val="ac"/>
          <w:rFonts w:cs="Arial"/>
          <w:lang w:val="en-GB"/>
        </w:rPr>
        <w:footnoteReference w:id="286"/>
      </w:r>
      <w:r>
        <w:t>、</w:t>
      </w:r>
      <w:r w:rsidR="008F060F">
        <w:t>無差別の原則</w:t>
      </w:r>
      <w:r w:rsidR="008F060F">
        <w:rPr>
          <w:rFonts w:hint="eastAsia"/>
        </w:rPr>
        <w:t>が確保されなければならないと強調した。</w:t>
      </w:r>
      <w:r w:rsidR="00274DCA" w:rsidRPr="00071222">
        <w:t>障害のある人</w:t>
      </w:r>
      <w:r w:rsidRPr="00071222">
        <w:t>が緊急</w:t>
      </w:r>
      <w:r w:rsidR="00091F02">
        <w:rPr>
          <w:rFonts w:hint="eastAsia"/>
        </w:rPr>
        <w:t>時</w:t>
      </w:r>
      <w:r w:rsidRPr="00071222">
        <w:t>サービスに</w:t>
      </w:r>
      <w:r>
        <w:t>アクセスできるようにし</w:t>
      </w:r>
      <w:r w:rsidR="007B2F2E" w:rsidRPr="00891FF8">
        <w:rPr>
          <w:rStyle w:val="ac"/>
          <w:rFonts w:cs="Arial"/>
        </w:rPr>
        <w:footnoteReference w:id="287"/>
      </w:r>
      <w:r>
        <w:t>、すべての災害リスク管理活動に</w:t>
      </w:r>
      <w:r w:rsidR="00091F02">
        <w:rPr>
          <w:rFonts w:hint="eastAsia"/>
        </w:rPr>
        <w:t>支援</w:t>
      </w:r>
      <w:r>
        <w:t>サービスを含める必要が</w:t>
      </w:r>
      <w:r w:rsidR="003F6448">
        <w:t>ある</w:t>
      </w:r>
      <w:r w:rsidR="007B2F2E" w:rsidRPr="00891FF8">
        <w:rPr>
          <w:rStyle w:val="ac"/>
          <w:rFonts w:cs="Arial"/>
        </w:rPr>
        <w:footnoteReference w:id="288"/>
      </w:r>
      <w:r>
        <w:t>。さらに、災害後の復興努力の優先事項としてアクセシビリティを組み込む必要が</w:t>
      </w:r>
      <w:r w:rsidR="003F6448">
        <w:t>ある</w:t>
      </w:r>
      <w:r w:rsidR="007B2F2E" w:rsidRPr="00891FF8">
        <w:rPr>
          <w:rStyle w:val="ac"/>
          <w:rFonts w:cs="Arial"/>
        </w:rPr>
        <w:footnoteReference w:id="289"/>
      </w:r>
      <w:r>
        <w:t>。2015年9月以来、委員会は、締約国が仙台防災枠組2015-2030を実施することを体系的に</w:t>
      </w:r>
      <w:r w:rsidR="00091F02">
        <w:rPr>
          <w:rFonts w:hint="eastAsia"/>
        </w:rPr>
        <w:t>勧告</w:t>
      </w:r>
      <w:r>
        <w:t>して</w:t>
      </w:r>
      <w:r w:rsidR="003F6448">
        <w:t>いる</w:t>
      </w:r>
      <w:r w:rsidR="007B2F2E" w:rsidRPr="00891FF8">
        <w:rPr>
          <w:rStyle w:val="ac"/>
          <w:rFonts w:cs="Arial"/>
          <w:lang w:val="en-GB"/>
        </w:rPr>
        <w:footnoteReference w:id="290"/>
      </w:r>
      <w:r>
        <w:t>。</w:t>
      </w:r>
    </w:p>
    <w:p w:rsidR="00720EAA" w:rsidRDefault="00720EAA" w:rsidP="002F40B6">
      <w:pPr>
        <w:rPr>
          <w:b/>
          <w:bCs/>
        </w:rPr>
      </w:pPr>
    </w:p>
    <w:p w:rsidR="002F40B6" w:rsidRPr="00FF6309" w:rsidRDefault="002F40B6" w:rsidP="002F40B6">
      <w:pPr>
        <w:rPr>
          <w:rFonts w:ascii="ＭＳ ゴシック" w:eastAsia="ＭＳ ゴシック" w:hAnsi="ＭＳ ゴシック"/>
          <w:b/>
          <w:bCs/>
        </w:rPr>
      </w:pPr>
      <w:r w:rsidRPr="00FF6309">
        <w:rPr>
          <w:rFonts w:ascii="ＭＳ ゴシック" w:eastAsia="ＭＳ ゴシック" w:hAnsi="ＭＳ ゴシック"/>
          <w:b/>
          <w:bCs/>
        </w:rPr>
        <w:t>ix</w:t>
      </w:r>
      <w:r w:rsidR="00720EAA" w:rsidRPr="00FF6309">
        <w:rPr>
          <w:rFonts w:ascii="ＭＳ ゴシック" w:eastAsia="ＭＳ ゴシック" w:hAnsi="ＭＳ ゴシック"/>
          <w:b/>
          <w:bCs/>
        </w:rPr>
        <w:t>.</w:t>
      </w:r>
      <w:r w:rsidR="00744D33">
        <w:rPr>
          <w:rFonts w:ascii="ＭＳ ゴシック" w:eastAsia="ＭＳ ゴシック" w:hAnsi="ＭＳ ゴシック"/>
          <w:b/>
          <w:bCs/>
        </w:rPr>
        <w:t xml:space="preserve"> </w:t>
      </w:r>
      <w:r w:rsidR="00274DCA">
        <w:rPr>
          <w:rFonts w:ascii="ＭＳ ゴシック" w:eastAsia="ＭＳ ゴシック" w:hAnsi="ＭＳ ゴシック" w:hint="eastAsia"/>
          <w:b/>
          <w:bCs/>
        </w:rPr>
        <w:t>労働</w:t>
      </w:r>
      <w:r w:rsidRPr="00FF6309">
        <w:rPr>
          <w:rFonts w:ascii="ＭＳ ゴシック" w:eastAsia="ＭＳ ゴシック" w:hAnsi="ＭＳ ゴシック"/>
          <w:b/>
          <w:bCs/>
        </w:rPr>
        <w:t>と雇用（第27条）</w:t>
      </w:r>
    </w:p>
    <w:p w:rsidR="00720EAA" w:rsidRDefault="00720EAA" w:rsidP="002F40B6"/>
    <w:p w:rsidR="002F40B6" w:rsidRDefault="002F40B6" w:rsidP="002F40B6">
      <w:r>
        <w:t>93.</w:t>
      </w:r>
      <w:r w:rsidR="00744D33">
        <w:t xml:space="preserve"> </w:t>
      </w:r>
      <w:r>
        <w:t>委員会は、アクセシビリティに関する一般的意見No.2</w:t>
      </w:r>
      <w:r w:rsidR="007B2F2E">
        <w:rPr>
          <w:rStyle w:val="ac"/>
          <w:rFonts w:cs="Arial"/>
        </w:rPr>
        <w:footnoteReference w:id="291"/>
      </w:r>
      <w:r>
        <w:t>、障害</w:t>
      </w:r>
      <w:r w:rsidR="002620FB">
        <w:t>のある</w:t>
      </w:r>
      <w:r>
        <w:t>女性に関する一般的意見No.3</w:t>
      </w:r>
      <w:r w:rsidR="007B2F2E">
        <w:rPr>
          <w:rStyle w:val="ac"/>
          <w:rFonts w:cs="Arial"/>
        </w:rPr>
        <w:footnoteReference w:id="292"/>
      </w:r>
      <w:r>
        <w:t>、自立生活と</w:t>
      </w:r>
      <w:r w:rsidR="00274DCA">
        <w:rPr>
          <w:rFonts w:hint="eastAsia"/>
        </w:rPr>
        <w:t>地域社会へのインクルージョン</w:t>
      </w:r>
      <w:r>
        <w:t>に関する一般的意見No.5</w:t>
      </w:r>
      <w:r w:rsidR="007B2F2E">
        <w:rPr>
          <w:rStyle w:val="ac"/>
          <w:rFonts w:cs="Arial"/>
        </w:rPr>
        <w:footnoteReference w:id="293"/>
      </w:r>
      <w:r w:rsidR="00091F02">
        <w:rPr>
          <w:rFonts w:hint="eastAsia"/>
        </w:rPr>
        <w:t>および</w:t>
      </w:r>
      <w:r w:rsidR="00091F02">
        <w:t>平等と</w:t>
      </w:r>
      <w:r w:rsidR="00091F02">
        <w:rPr>
          <w:rFonts w:hint="eastAsia"/>
        </w:rPr>
        <w:t>無</w:t>
      </w:r>
      <w:r w:rsidR="00091F02">
        <w:t>差別に関する</w:t>
      </w:r>
      <w:r w:rsidR="00091F02">
        <w:rPr>
          <w:rFonts w:hint="eastAsia"/>
        </w:rPr>
        <w:t>一般的意見</w:t>
      </w:r>
      <w:r w:rsidR="00091F02">
        <w:t>No. 6</w:t>
      </w:r>
      <w:r w:rsidR="007B2F2E">
        <w:rPr>
          <w:rStyle w:val="ac"/>
          <w:rFonts w:cs="Arial"/>
        </w:rPr>
        <w:footnoteReference w:id="294"/>
      </w:r>
      <w:r>
        <w:t>で、</w:t>
      </w:r>
      <w:r w:rsidR="00274DCA">
        <w:rPr>
          <w:rFonts w:hint="eastAsia"/>
        </w:rPr>
        <w:t>労働</w:t>
      </w:r>
      <w:r>
        <w:t>と雇用に関する第27条</w:t>
      </w:r>
      <w:r w:rsidR="00091F02">
        <w:rPr>
          <w:rFonts w:hint="eastAsia"/>
        </w:rPr>
        <w:t>に言及</w:t>
      </w:r>
      <w:r w:rsidR="003F6448">
        <w:t>した</w:t>
      </w:r>
      <w:r>
        <w:t>。特にアクセシビリティ、合理的</w:t>
      </w:r>
      <w:r w:rsidR="00274DCA">
        <w:rPr>
          <w:rFonts w:hint="eastAsia"/>
        </w:rPr>
        <w:t>配慮</w:t>
      </w:r>
      <w:r>
        <w:t>、および</w:t>
      </w:r>
      <w:r w:rsidR="00274DCA">
        <w:t>障害のある人</w:t>
      </w:r>
      <w:r>
        <w:t>が仕事と雇用に完全にアクセスできるようにするために必要な支援措置</w:t>
      </w:r>
      <w:r w:rsidR="00091F02">
        <w:rPr>
          <w:rFonts w:hint="eastAsia"/>
        </w:rPr>
        <w:t>を取り上げた。</w:t>
      </w:r>
      <w:r>
        <w:t>委員会は、</w:t>
      </w:r>
      <w:r w:rsidR="00274DCA">
        <w:rPr>
          <w:rFonts w:hint="eastAsia"/>
        </w:rPr>
        <w:t>一般的意見</w:t>
      </w:r>
      <w:r w:rsidR="00274DCA">
        <w:t>No. 6</w:t>
      </w:r>
      <w:r>
        <w:t>で、締約国は分離された労働環境からの移行を促進し、</w:t>
      </w:r>
      <w:r w:rsidR="00274DCA">
        <w:t>障害のある人</w:t>
      </w:r>
      <w:r>
        <w:t>が最低賃金以上の賃金を支払われ、就労開始</w:t>
      </w:r>
      <w:r>
        <w:rPr>
          <w:rFonts w:hint="eastAsia"/>
        </w:rPr>
        <w:t>時に障害手当の恩恵を失うことがないようにすべきだと強調した。</w:t>
      </w:r>
    </w:p>
    <w:p w:rsidR="00720EAA" w:rsidRDefault="00720EAA" w:rsidP="002F40B6"/>
    <w:p w:rsidR="002F40B6" w:rsidRDefault="002F40B6" w:rsidP="002F40B6">
      <w:r>
        <w:t>94.</w:t>
      </w:r>
      <w:r w:rsidR="00744D33">
        <w:t xml:space="preserve"> </w:t>
      </w:r>
      <w:r>
        <w:t>委員会は、締約国が</w:t>
      </w:r>
      <w:r w:rsidR="007C17C9">
        <w:rPr>
          <w:rFonts w:hint="eastAsia"/>
        </w:rPr>
        <w:t>、</w:t>
      </w:r>
      <w:r w:rsidR="007C17C9">
        <w:t>公共部門および民間部門の障害のある人</w:t>
      </w:r>
      <w:r w:rsidR="003545B1">
        <w:rPr>
          <w:rFonts w:hint="eastAsia"/>
        </w:rPr>
        <w:t>への</w:t>
      </w:r>
      <w:r w:rsidR="00DF618D">
        <w:rPr>
          <w:rFonts w:hint="eastAsia"/>
        </w:rPr>
        <w:t>肯定的行動措置（</w:t>
      </w:r>
      <w:r w:rsidR="00DF618D" w:rsidRPr="00DF618D">
        <w:t>affirmative action measures</w:t>
      </w:r>
      <w:r w:rsidR="00DF618D">
        <w:rPr>
          <w:rFonts w:hint="eastAsia"/>
        </w:rPr>
        <w:t>）</w:t>
      </w:r>
      <w:r w:rsidR="007C17C9">
        <w:rPr>
          <w:rFonts w:hint="eastAsia"/>
        </w:rPr>
        <w:t>や</w:t>
      </w:r>
      <w:r w:rsidR="003545B1">
        <w:t>の雇用を増やすため</w:t>
      </w:r>
      <w:r>
        <w:t>インセンティブを</w:t>
      </w:r>
      <w:r w:rsidR="007C17C9">
        <w:t>採用</w:t>
      </w:r>
      <w:r w:rsidR="003545B1">
        <w:rPr>
          <w:rFonts w:hint="eastAsia"/>
        </w:rPr>
        <w:t>するよう勧告した</w:t>
      </w:r>
      <w:r w:rsidR="007B2F2E">
        <w:rPr>
          <w:rStyle w:val="ac"/>
          <w:rFonts w:cs="Arial"/>
          <w:lang w:val="en-GB"/>
        </w:rPr>
        <w:footnoteReference w:id="295"/>
      </w:r>
      <w:r w:rsidR="003545B1">
        <w:rPr>
          <w:rFonts w:hint="eastAsia"/>
        </w:rPr>
        <w:t>。</w:t>
      </w:r>
      <w:r>
        <w:t>例えば、効果的なメカニズムと不遵守に対する制裁を備えた</w:t>
      </w:r>
      <w:r w:rsidR="003545B1">
        <w:rPr>
          <w:rFonts w:hint="eastAsia"/>
        </w:rPr>
        <w:t>割り当て雇用</w:t>
      </w:r>
      <w:r>
        <w:t>制度</w:t>
      </w:r>
      <w:r w:rsidR="003545B1">
        <w:rPr>
          <w:rFonts w:hint="eastAsia"/>
        </w:rPr>
        <w:t>である</w:t>
      </w:r>
      <w:r w:rsidR="007B2F2E">
        <w:rPr>
          <w:rStyle w:val="ac"/>
          <w:rFonts w:cs="Arial"/>
          <w:lang w:val="en-GB"/>
        </w:rPr>
        <w:footnoteReference w:id="296"/>
      </w:r>
      <w:r w:rsidR="003545B1">
        <w:rPr>
          <w:rFonts w:hint="eastAsia"/>
        </w:rPr>
        <w:t>。</w:t>
      </w:r>
      <w:r w:rsidR="003545B1">
        <w:t>雇用主が補助金を</w:t>
      </w:r>
      <w:r w:rsidR="003545B1">
        <w:rPr>
          <w:rFonts w:hint="eastAsia"/>
        </w:rPr>
        <w:t>受ける</w:t>
      </w:r>
      <w:r w:rsidR="003545B1">
        <w:t>のが困難な場合、障害のある</w:t>
      </w:r>
      <w:r w:rsidR="003545B1">
        <w:rPr>
          <w:rFonts w:hint="eastAsia"/>
        </w:rPr>
        <w:t>求職者が不利な立場に置かれるなど、</w:t>
      </w:r>
      <w:r w:rsidR="003545B1">
        <w:t>統合補助金などの</w:t>
      </w:r>
      <w:r w:rsidR="003545B1">
        <w:rPr>
          <w:rFonts w:hint="eastAsia"/>
        </w:rPr>
        <w:t>肯定的</w:t>
      </w:r>
      <w:r w:rsidR="003545B1">
        <w:t>措置が間接差別にならないようにしなければ</w:t>
      </w:r>
      <w:r w:rsidR="003545B1">
        <w:rPr>
          <w:rFonts w:hint="eastAsia"/>
        </w:rPr>
        <w:t>ならない</w:t>
      </w:r>
      <w:r w:rsidR="007B2F2E">
        <w:rPr>
          <w:rStyle w:val="ac"/>
          <w:rFonts w:cs="Arial"/>
          <w:lang w:val="en-GB"/>
        </w:rPr>
        <w:footnoteReference w:id="297"/>
      </w:r>
      <w:r w:rsidR="003545B1">
        <w:rPr>
          <w:rFonts w:hint="eastAsia"/>
        </w:rPr>
        <w:t>。</w:t>
      </w:r>
    </w:p>
    <w:p w:rsidR="00720EAA" w:rsidRDefault="00720EAA" w:rsidP="002F40B6"/>
    <w:p w:rsidR="002F40B6" w:rsidRDefault="002F40B6" w:rsidP="002F40B6">
      <w:r>
        <w:t>95.</w:t>
      </w:r>
      <w:r w:rsidR="00744D33">
        <w:t xml:space="preserve"> </w:t>
      </w:r>
      <w:r>
        <w:t>委員会はまた、障害のある人は他の人と平等に、強制労働</w:t>
      </w:r>
      <w:r w:rsidR="00F90A3F">
        <w:rPr>
          <w:rStyle w:val="ac"/>
          <w:rFonts w:cs="Arial"/>
          <w:lang w:val="en-GB"/>
        </w:rPr>
        <w:footnoteReference w:id="298"/>
      </w:r>
      <w:r>
        <w:t>、職場での搾取や嫌がらせから保護されるべきであると強調した</w:t>
      </w:r>
      <w:r w:rsidR="00F90A3F">
        <w:rPr>
          <w:rStyle w:val="ac"/>
          <w:rFonts w:cs="Arial"/>
          <w:lang w:val="en-GB"/>
        </w:rPr>
        <w:footnoteReference w:id="299"/>
      </w:r>
      <w:r>
        <w:t>。</w:t>
      </w:r>
    </w:p>
    <w:p w:rsidR="00720EAA" w:rsidRDefault="00720EAA" w:rsidP="002F40B6">
      <w:pPr>
        <w:rPr>
          <w:b/>
          <w:bCs/>
        </w:rPr>
      </w:pPr>
    </w:p>
    <w:p w:rsidR="002F40B6" w:rsidRPr="00744D33" w:rsidRDefault="002F40B6" w:rsidP="00744D33">
      <w:pPr>
        <w:pStyle w:val="a7"/>
        <w:numPr>
          <w:ilvl w:val="0"/>
          <w:numId w:val="3"/>
        </w:numPr>
        <w:ind w:leftChars="0"/>
        <w:rPr>
          <w:rFonts w:ascii="ＭＳ ゴシック" w:eastAsia="ＭＳ ゴシック" w:hAnsi="ＭＳ ゴシック"/>
          <w:b/>
          <w:bCs/>
        </w:rPr>
      </w:pPr>
      <w:r w:rsidRPr="00744D33">
        <w:rPr>
          <w:rFonts w:ascii="ＭＳ ゴシック" w:eastAsia="ＭＳ ゴシック" w:hAnsi="ＭＳ ゴシック"/>
          <w:b/>
          <w:bCs/>
        </w:rPr>
        <w:t>誰</w:t>
      </w:r>
      <w:r w:rsidR="00352327">
        <w:rPr>
          <w:rFonts w:ascii="ＭＳ ゴシック" w:eastAsia="ＭＳ ゴシック" w:hAnsi="ＭＳ ゴシック" w:hint="eastAsia"/>
          <w:b/>
          <w:bCs/>
        </w:rPr>
        <w:t>一人取り残さない</w:t>
      </w:r>
      <w:r w:rsidRPr="00744D33">
        <w:rPr>
          <w:rFonts w:ascii="ＭＳ ゴシック" w:eastAsia="ＭＳ ゴシック" w:hAnsi="ＭＳ ゴシック"/>
          <w:b/>
          <w:bCs/>
        </w:rPr>
        <w:t>：国際開発</w:t>
      </w:r>
      <w:r w:rsidR="00C17A93">
        <w:rPr>
          <w:rFonts w:ascii="ＭＳ ゴシック" w:eastAsia="ＭＳ ゴシック" w:hAnsi="ＭＳ ゴシック" w:hint="eastAsia"/>
          <w:b/>
          <w:bCs/>
        </w:rPr>
        <w:t>戦略</w:t>
      </w:r>
      <w:r w:rsidRPr="00744D33">
        <w:rPr>
          <w:rFonts w:ascii="ＭＳ ゴシック" w:eastAsia="ＭＳ ゴシック" w:hAnsi="ＭＳ ゴシック"/>
          <w:b/>
          <w:bCs/>
        </w:rPr>
        <w:t>における障害者の権利</w:t>
      </w:r>
    </w:p>
    <w:p w:rsidR="00720EAA" w:rsidRDefault="00720EAA" w:rsidP="002F40B6"/>
    <w:p w:rsidR="002F40B6" w:rsidRDefault="002F40B6" w:rsidP="002F40B6">
      <w:r>
        <w:t>96.</w:t>
      </w:r>
      <w:r w:rsidR="00744D33">
        <w:t xml:space="preserve"> </w:t>
      </w:r>
      <w:r>
        <w:t xml:space="preserve"> 2015年以降の開発アジェンダに関する議論で、委員会は</w:t>
      </w:r>
      <w:r w:rsidR="00274DCA">
        <w:t>障害のある人</w:t>
      </w:r>
      <w:r>
        <w:t>の権利を含めることを主張した。2013年5月の声明では、持続可能</w:t>
      </w:r>
      <w:r w:rsidR="00B66781">
        <w:rPr>
          <w:rFonts w:hint="eastAsia"/>
        </w:rPr>
        <w:t>であるために</w:t>
      </w:r>
      <w:r>
        <w:t>開発目標は人権に基づくアプローチに根ざ</w:t>
      </w:r>
      <w:r w:rsidR="00511122">
        <w:rPr>
          <w:rFonts w:hint="eastAsia"/>
        </w:rPr>
        <w:t>し</w:t>
      </w:r>
      <w:r>
        <w:t>、すべての</w:t>
      </w:r>
      <w:r w:rsidR="00274DCA">
        <w:t>障害のある人</w:t>
      </w:r>
      <w:r>
        <w:t>の市民</w:t>
      </w:r>
      <w:r w:rsidR="00B66781">
        <w:rPr>
          <w:rFonts w:hint="eastAsia"/>
        </w:rPr>
        <w:t>的</w:t>
      </w:r>
      <w:r>
        <w:t>、政治</w:t>
      </w:r>
      <w:r w:rsidR="00B66781">
        <w:rPr>
          <w:rFonts w:hint="eastAsia"/>
        </w:rPr>
        <w:t>的</w:t>
      </w:r>
      <w:r>
        <w:t>、経済</w:t>
      </w:r>
      <w:r w:rsidR="00B66781">
        <w:rPr>
          <w:rFonts w:hint="eastAsia"/>
        </w:rPr>
        <w:t>的</w:t>
      </w:r>
      <w:r>
        <w:t>、社会</w:t>
      </w:r>
      <w:r w:rsidR="00B66781">
        <w:rPr>
          <w:rFonts w:hint="eastAsia"/>
        </w:rPr>
        <w:t>的</w:t>
      </w:r>
      <w:r>
        <w:t>、文化的権利</w:t>
      </w:r>
      <w:r w:rsidR="00B66781">
        <w:rPr>
          <w:rFonts w:hint="eastAsia"/>
        </w:rPr>
        <w:t>の享有に留意すべき</w:t>
      </w:r>
      <w:r w:rsidR="00511122">
        <w:rPr>
          <w:rFonts w:hint="eastAsia"/>
        </w:rPr>
        <w:t>だ</w:t>
      </w:r>
      <w:r w:rsidR="00B66781">
        <w:rPr>
          <w:rFonts w:hint="eastAsia"/>
        </w:rPr>
        <w:t>とした</w:t>
      </w:r>
      <w:r w:rsidR="00F90A3F" w:rsidRPr="00AC2FC8">
        <w:rPr>
          <w:rStyle w:val="ac"/>
          <w:rFonts w:cs="Arial"/>
          <w:lang w:val="en-GB"/>
        </w:rPr>
        <w:footnoteReference w:id="300"/>
      </w:r>
      <w:r w:rsidR="00B66781">
        <w:rPr>
          <w:rFonts w:hint="eastAsia"/>
        </w:rPr>
        <w:t>。</w:t>
      </w:r>
      <w:r>
        <w:t>2014年1月、持続可能な開発目標に関する</w:t>
      </w:r>
      <w:r w:rsidR="00B66781">
        <w:rPr>
          <w:rFonts w:hint="eastAsia"/>
        </w:rPr>
        <w:t>公開作業</w:t>
      </w:r>
      <w:r>
        <w:t>グループの</w:t>
      </w:r>
      <w:r w:rsidR="00B66781">
        <w:t>第8回</w:t>
      </w:r>
      <w:r>
        <w:t>会合に参加</w:t>
      </w:r>
      <w:r w:rsidR="00B66781">
        <w:rPr>
          <w:rFonts w:hint="eastAsia"/>
        </w:rPr>
        <w:t>した</w:t>
      </w:r>
      <w:r>
        <w:t>国連加盟国に</w:t>
      </w:r>
      <w:r w:rsidR="00511122">
        <w:rPr>
          <w:rFonts w:hint="eastAsia"/>
        </w:rPr>
        <w:t>対して</w:t>
      </w:r>
      <w:r>
        <w:t>、</w:t>
      </w:r>
      <w:r w:rsidR="00B66781">
        <w:rPr>
          <w:rFonts w:hint="eastAsia"/>
        </w:rPr>
        <w:t>委員会は</w:t>
      </w:r>
      <w:r>
        <w:t>同様の点を強調した。</w:t>
      </w:r>
    </w:p>
    <w:p w:rsidR="00720EAA" w:rsidRDefault="00720EAA" w:rsidP="002F40B6"/>
    <w:p w:rsidR="0000597B" w:rsidRDefault="002F40B6" w:rsidP="0000597B">
      <w:r>
        <w:t xml:space="preserve">97. </w:t>
      </w:r>
      <w:r w:rsidR="00744D33">
        <w:t xml:space="preserve"> </w:t>
      </w:r>
      <w:r>
        <w:t>2015年9月に持続可能な開発のための2030アジェンダが採択されて以来、委員会は、最新の</w:t>
      </w:r>
      <w:r w:rsidR="00B61E9E">
        <w:t>一般的意見</w:t>
      </w:r>
      <w:r>
        <w:t>と</w:t>
      </w:r>
      <w:r w:rsidR="00511122">
        <w:rPr>
          <w:rFonts w:hint="eastAsia"/>
        </w:rPr>
        <w:t>総括所見で、</w:t>
      </w:r>
      <w:r>
        <w:t>アジェンダとその持続可能な開発目標への言及を含め</w:t>
      </w:r>
      <w:r w:rsidR="00511122">
        <w:rPr>
          <w:rFonts w:hint="eastAsia"/>
        </w:rPr>
        <w:t>てい</w:t>
      </w:r>
      <w:r>
        <w:t>る。特に、締約国</w:t>
      </w:r>
      <w:r w:rsidR="00511122">
        <w:rPr>
          <w:rFonts w:hint="eastAsia"/>
        </w:rPr>
        <w:t>が</w:t>
      </w:r>
      <w:r>
        <w:t>、あらゆるレベルでのアジェンダの実施と</w:t>
      </w:r>
      <w:r w:rsidR="00511122">
        <w:rPr>
          <w:rFonts w:hint="eastAsia"/>
        </w:rPr>
        <w:t>監視</w:t>
      </w:r>
      <w:r w:rsidR="00F90A3F" w:rsidRPr="00AC2FC8">
        <w:rPr>
          <w:rStyle w:val="ac"/>
          <w:rFonts w:cs="Arial"/>
          <w:bCs/>
          <w:lang w:val="en-GB"/>
        </w:rPr>
        <w:footnoteReference w:id="301"/>
      </w:r>
      <w:r>
        <w:t>に</w:t>
      </w:r>
      <w:r w:rsidR="00511122">
        <w:rPr>
          <w:rFonts w:hint="eastAsia"/>
        </w:rPr>
        <w:t>おいて</w:t>
      </w:r>
      <w:r w:rsidR="00274DCA">
        <w:t>障害のある人</w:t>
      </w:r>
      <w:r>
        <w:t>の権利を主流化し、2030アジェンダと一貫した方法で障害</w:t>
      </w:r>
      <w:r w:rsidR="00511122">
        <w:rPr>
          <w:rFonts w:hint="eastAsia"/>
        </w:rPr>
        <w:t>インクルーシブな</w:t>
      </w:r>
      <w:r>
        <w:t>指標を</w:t>
      </w:r>
      <w:r w:rsidR="00511122">
        <w:rPr>
          <w:rFonts w:hint="eastAsia"/>
        </w:rPr>
        <w:t>確実に</w:t>
      </w:r>
      <w:r>
        <w:t>開発し、使用する</w:t>
      </w:r>
      <w:r w:rsidR="00511122">
        <w:rPr>
          <w:rFonts w:hint="eastAsia"/>
        </w:rPr>
        <w:t>よう勧告している</w:t>
      </w:r>
      <w:r w:rsidR="00F90A3F" w:rsidRPr="00AC2FC8">
        <w:rPr>
          <w:rStyle w:val="ac"/>
          <w:rFonts w:cs="Arial"/>
        </w:rPr>
        <w:footnoteReference w:id="302"/>
      </w:r>
      <w:r w:rsidR="00511122">
        <w:rPr>
          <w:rFonts w:hint="eastAsia"/>
        </w:rPr>
        <w:t>。</w:t>
      </w:r>
      <w:r>
        <w:t>委員会は、</w:t>
      </w:r>
      <w:r w:rsidR="00511122">
        <w:rPr>
          <w:rFonts w:hint="eastAsia"/>
        </w:rPr>
        <w:t>総括所見で、</w:t>
      </w:r>
      <w:r>
        <w:t>具体的な目標と</w:t>
      </w:r>
      <w:bookmarkStart w:id="4" w:name="_Hlk18537465"/>
      <w:r w:rsidR="00511122">
        <w:rPr>
          <w:rFonts w:hint="eastAsia"/>
        </w:rPr>
        <w:t>ターゲット</w:t>
      </w:r>
      <w:bookmarkEnd w:id="4"/>
      <w:r w:rsidR="00511122">
        <w:rPr>
          <w:rFonts w:hint="eastAsia"/>
        </w:rPr>
        <w:t>をとりあげて</w:t>
      </w:r>
      <w:r>
        <w:t>2030アジェンダに言及して</w:t>
      </w:r>
      <w:r w:rsidR="003F6448">
        <w:t>いる</w:t>
      </w:r>
      <w:r>
        <w:t>。</w:t>
      </w:r>
      <w:r w:rsidRPr="00F911D4">
        <w:t>すなわち、</w:t>
      </w:r>
      <w:r>
        <w:t>貧困</w:t>
      </w:r>
      <w:r w:rsidR="00F911D4">
        <w:rPr>
          <w:rFonts w:hint="eastAsia"/>
        </w:rPr>
        <w:t>の終結</w:t>
      </w:r>
      <w:r w:rsidR="00333605">
        <w:t>に関する目標1</w:t>
      </w:r>
      <w:r>
        <w:t>と</w:t>
      </w:r>
      <w:r w:rsidR="00333605">
        <w:rPr>
          <w:rFonts w:hint="eastAsia"/>
        </w:rPr>
        <w:t>ターゲット</w:t>
      </w:r>
      <w:r>
        <w:t>1.2、1.3、1.4</w:t>
      </w:r>
      <w:r w:rsidR="00F90A3F">
        <w:rPr>
          <w:rStyle w:val="ac"/>
          <w:rFonts w:cs="Arial"/>
        </w:rPr>
        <w:footnoteReference w:id="303"/>
      </w:r>
      <w:r w:rsidR="00333605">
        <w:rPr>
          <w:rFonts w:hint="eastAsia"/>
        </w:rPr>
        <w:t>；</w:t>
      </w:r>
      <w:r>
        <w:t>健康と幸福に関する目標3</w:t>
      </w:r>
      <w:r w:rsidR="00333605">
        <w:rPr>
          <w:rFonts w:hint="eastAsia"/>
        </w:rPr>
        <w:t>とターゲット</w:t>
      </w:r>
      <w:r>
        <w:t>3.7</w:t>
      </w:r>
      <w:r w:rsidR="00F911D4">
        <w:rPr>
          <w:rFonts w:hint="eastAsia"/>
        </w:rPr>
        <w:t>、</w:t>
      </w:r>
      <w:r>
        <w:t>3.8</w:t>
      </w:r>
      <w:r w:rsidR="00F90A3F">
        <w:rPr>
          <w:rStyle w:val="ac"/>
          <w:rFonts w:cs="Arial"/>
        </w:rPr>
        <w:footnoteReference w:id="304"/>
      </w:r>
      <w:r w:rsidR="00333605">
        <w:rPr>
          <w:rFonts w:hint="eastAsia"/>
        </w:rPr>
        <w:t>；</w:t>
      </w:r>
      <w:r>
        <w:t>質の高い教育</w:t>
      </w:r>
      <w:r w:rsidR="00333605">
        <w:t>に関する目標4</w:t>
      </w:r>
      <w:r>
        <w:t>と</w:t>
      </w:r>
      <w:r w:rsidR="00333605">
        <w:rPr>
          <w:rFonts w:hint="eastAsia"/>
        </w:rPr>
        <w:t>ターゲット</w:t>
      </w:r>
      <w:r>
        <w:t>4.1、4.5、4.a</w:t>
      </w:r>
      <w:r w:rsidR="00F90A3F">
        <w:rPr>
          <w:rStyle w:val="ac"/>
          <w:rFonts w:cs="Arial"/>
        </w:rPr>
        <w:footnoteReference w:id="305"/>
      </w:r>
      <w:r w:rsidR="00333605">
        <w:rPr>
          <w:rFonts w:hint="eastAsia"/>
        </w:rPr>
        <w:t>；</w:t>
      </w:r>
      <w:r w:rsidR="00F911D4">
        <w:rPr>
          <w:rFonts w:hint="eastAsia"/>
        </w:rPr>
        <w:t>ジェンダーの平等</w:t>
      </w:r>
      <w:r w:rsidR="00333605">
        <w:t>の目標5</w:t>
      </w:r>
      <w:r>
        <w:t>と</w:t>
      </w:r>
      <w:r w:rsidR="00333605">
        <w:rPr>
          <w:rFonts w:hint="eastAsia"/>
        </w:rPr>
        <w:t>ターゲット</w:t>
      </w:r>
      <w:r>
        <w:t>5.1、5.2、5.3、5.5、5.6</w:t>
      </w:r>
      <w:r w:rsidR="00F90A3F">
        <w:rPr>
          <w:rStyle w:val="ac"/>
          <w:rFonts w:cs="Arial"/>
        </w:rPr>
        <w:footnoteReference w:id="306"/>
      </w:r>
      <w:r w:rsidR="00333605">
        <w:rPr>
          <w:rFonts w:hint="eastAsia"/>
        </w:rPr>
        <w:t>；</w:t>
      </w:r>
      <w:r w:rsidR="00F911D4">
        <w:rPr>
          <w:rFonts w:hint="eastAsia"/>
        </w:rPr>
        <w:t>人間らしい</w:t>
      </w:r>
      <w:r>
        <w:t>仕事と経済成長に関する目標8</w:t>
      </w:r>
      <w:r w:rsidR="00333605">
        <w:rPr>
          <w:rFonts w:hint="eastAsia"/>
        </w:rPr>
        <w:t>とターゲット</w:t>
      </w:r>
      <w:r>
        <w:t>8.5</w:t>
      </w:r>
      <w:r w:rsidR="00F90A3F">
        <w:rPr>
          <w:rStyle w:val="ac"/>
          <w:rFonts w:cs="Arial"/>
        </w:rPr>
        <w:footnoteReference w:id="307"/>
      </w:r>
      <w:r w:rsidR="00333605">
        <w:rPr>
          <w:rFonts w:hint="eastAsia"/>
        </w:rPr>
        <w:t>；</w:t>
      </w:r>
      <w:r w:rsidR="00F911D4">
        <w:rPr>
          <w:rFonts w:hint="eastAsia"/>
        </w:rPr>
        <w:t>産業</w:t>
      </w:r>
      <w:r>
        <w:t>革新とインフラストラクチャに関する目標9</w:t>
      </w:r>
      <w:r w:rsidR="00F90A3F">
        <w:rPr>
          <w:rStyle w:val="ac"/>
          <w:rFonts w:cs="Arial"/>
        </w:rPr>
        <w:footnoteReference w:id="308"/>
      </w:r>
      <w:r w:rsidR="00F911D4">
        <w:rPr>
          <w:rFonts w:hint="eastAsia"/>
        </w:rPr>
        <w:t>；不平等の</w:t>
      </w:r>
      <w:r w:rsidR="00776499">
        <w:t>削減に関する目標10</w:t>
      </w:r>
      <w:r w:rsidR="00F911D4">
        <w:rPr>
          <w:rFonts w:hint="eastAsia"/>
        </w:rPr>
        <w:t>と</w:t>
      </w:r>
      <w:r w:rsidR="00333605">
        <w:rPr>
          <w:rFonts w:hint="eastAsia"/>
        </w:rPr>
        <w:t>ターゲット</w:t>
      </w:r>
      <w:r>
        <w:t>10.2</w:t>
      </w:r>
      <w:r w:rsidR="00F911D4">
        <w:rPr>
          <w:rFonts w:hint="eastAsia"/>
        </w:rPr>
        <w:t>、</w:t>
      </w:r>
      <w:r>
        <w:t>10.3</w:t>
      </w:r>
      <w:r w:rsidR="00F90A3F">
        <w:rPr>
          <w:rStyle w:val="ac"/>
          <w:rFonts w:cs="Arial"/>
        </w:rPr>
        <w:footnoteReference w:id="309"/>
      </w:r>
      <w:r w:rsidR="00776499">
        <w:rPr>
          <w:rFonts w:hint="eastAsia"/>
        </w:rPr>
        <w:t>；</w:t>
      </w:r>
      <w:r>
        <w:t>持続可能な都市と</w:t>
      </w:r>
      <w:r w:rsidR="00F911D4">
        <w:rPr>
          <w:rFonts w:hint="eastAsia"/>
        </w:rPr>
        <w:t>地域社会</w:t>
      </w:r>
      <w:r>
        <w:t>に関する目標11</w:t>
      </w:r>
      <w:r w:rsidR="00776499">
        <w:rPr>
          <w:rFonts w:hint="eastAsia"/>
        </w:rPr>
        <w:t>と</w:t>
      </w:r>
      <w:r>
        <w:t>ターゲット11.2（すべての人のための交通システム）</w:t>
      </w:r>
      <w:r w:rsidR="00F911D4">
        <w:rPr>
          <w:rFonts w:hint="eastAsia"/>
        </w:rPr>
        <w:t>、</w:t>
      </w:r>
      <w:r>
        <w:t>11.7（公共</w:t>
      </w:r>
      <w:r w:rsidR="00F911D4">
        <w:rPr>
          <w:rFonts w:hint="eastAsia"/>
        </w:rPr>
        <w:t>空間</w:t>
      </w:r>
      <w:r>
        <w:t>への</w:t>
      </w:r>
      <w:r>
        <w:rPr>
          <w:rFonts w:hint="eastAsia"/>
        </w:rPr>
        <w:t>アクセス）</w:t>
      </w:r>
      <w:r w:rsidR="00F90A3F">
        <w:rPr>
          <w:rStyle w:val="ac"/>
          <w:rFonts w:cs="Arial"/>
        </w:rPr>
        <w:footnoteReference w:id="310"/>
      </w:r>
      <w:r w:rsidR="00776499">
        <w:rPr>
          <w:rFonts w:hint="eastAsia"/>
        </w:rPr>
        <w:t>；</w:t>
      </w:r>
      <w:r>
        <w:rPr>
          <w:rFonts w:hint="eastAsia"/>
        </w:rPr>
        <w:t>平和、正義、強力な制度に関する目標</w:t>
      </w:r>
      <w:r>
        <w:t>16</w:t>
      </w:r>
      <w:r w:rsidR="00776499">
        <w:rPr>
          <w:rFonts w:hint="eastAsia"/>
        </w:rPr>
        <w:t>と</w:t>
      </w:r>
      <w:r>
        <w:t>ターゲット16.2、16.3、16.7</w:t>
      </w:r>
      <w:r w:rsidR="00F90A3F">
        <w:rPr>
          <w:rStyle w:val="ac"/>
          <w:rFonts w:cs="Arial"/>
        </w:rPr>
        <w:footnoteReference w:id="311"/>
      </w:r>
      <w:r w:rsidR="00776499">
        <w:rPr>
          <w:rFonts w:hint="eastAsia"/>
        </w:rPr>
        <w:t>；</w:t>
      </w:r>
      <w:r w:rsidR="00240440">
        <w:rPr>
          <w:rFonts w:hint="eastAsia"/>
        </w:rPr>
        <w:t>目標達成のためのパートナーシップ</w:t>
      </w:r>
      <w:r w:rsidR="00776499">
        <w:rPr>
          <w:rFonts w:hint="eastAsia"/>
        </w:rPr>
        <w:t>に関する</w:t>
      </w:r>
      <w:r>
        <w:t>目標</w:t>
      </w:r>
      <w:r w:rsidR="00776499">
        <w:rPr>
          <w:rFonts w:hint="eastAsia"/>
        </w:rPr>
        <w:t>17とターゲット</w:t>
      </w:r>
      <w:r w:rsidR="00776499">
        <w:t>17.18</w:t>
      </w:r>
      <w:r>
        <w:t xml:space="preserve"> </w:t>
      </w:r>
      <w:r w:rsidR="00F90A3F">
        <w:rPr>
          <w:rStyle w:val="ac"/>
          <w:rFonts w:cs="Arial"/>
        </w:rPr>
        <w:footnoteReference w:id="312"/>
      </w:r>
      <w:r w:rsidR="00240440">
        <w:rPr>
          <w:rFonts w:hint="eastAsia"/>
        </w:rPr>
        <w:t>である。</w:t>
      </w:r>
    </w:p>
    <w:p w:rsidR="00C17A93" w:rsidRDefault="00C17A93" w:rsidP="0000597B"/>
    <w:p w:rsidR="00C17A93" w:rsidRDefault="00C17A93" w:rsidP="00C17A93">
      <w:pPr>
        <w:jc w:val="right"/>
      </w:pPr>
      <w:r>
        <w:rPr>
          <w:rFonts w:hint="eastAsia"/>
        </w:rPr>
        <w:t>（翻訳:佐藤久夫）</w:t>
      </w:r>
    </w:p>
    <w:sectPr w:rsidR="00C17A9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C7" w:rsidRDefault="001250C7" w:rsidP="002F40B6">
      <w:r>
        <w:separator/>
      </w:r>
    </w:p>
  </w:endnote>
  <w:endnote w:type="continuationSeparator" w:id="0">
    <w:p w:rsidR="001250C7" w:rsidRDefault="001250C7" w:rsidP="002F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361496"/>
      <w:docPartObj>
        <w:docPartGallery w:val="Page Numbers (Bottom of Page)"/>
        <w:docPartUnique/>
      </w:docPartObj>
    </w:sdtPr>
    <w:sdtEndPr/>
    <w:sdtContent>
      <w:p w:rsidR="001250C7" w:rsidRDefault="001250C7">
        <w:pPr>
          <w:pStyle w:val="a5"/>
        </w:pPr>
        <w:r>
          <w:fldChar w:fldCharType="begin"/>
        </w:r>
        <w:r>
          <w:instrText>PAGE   \* MERGEFORMAT</w:instrText>
        </w:r>
        <w:r>
          <w:fldChar w:fldCharType="separate"/>
        </w:r>
        <w:r w:rsidR="00810347" w:rsidRPr="00810347">
          <w:rPr>
            <w:noProof/>
            <w:lang w:val="ja-JP"/>
          </w:rPr>
          <w:t>36</w:t>
        </w:r>
        <w:r>
          <w:fldChar w:fldCharType="end"/>
        </w:r>
      </w:p>
    </w:sdtContent>
  </w:sdt>
  <w:p w:rsidR="001250C7" w:rsidRDefault="001250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C7" w:rsidRDefault="001250C7" w:rsidP="002F40B6">
      <w:r>
        <w:separator/>
      </w:r>
    </w:p>
  </w:footnote>
  <w:footnote w:type="continuationSeparator" w:id="0">
    <w:p w:rsidR="001250C7" w:rsidRDefault="001250C7" w:rsidP="002F40B6">
      <w:r>
        <w:continuationSeparator/>
      </w:r>
    </w:p>
  </w:footnote>
  <w:footnote w:id="1">
    <w:p w:rsidR="001250C7" w:rsidRPr="005944B6" w:rsidRDefault="001250C7" w:rsidP="00C17A93">
      <w:pPr>
        <w:pStyle w:val="aa"/>
      </w:pPr>
      <w:r w:rsidRPr="005944B6">
        <w:rPr>
          <w:rStyle w:val="ac"/>
          <w:rFonts w:cs="Arial"/>
          <w:szCs w:val="18"/>
        </w:rPr>
        <w:footnoteRef/>
      </w:r>
      <w:r w:rsidRPr="005944B6">
        <w:t xml:space="preserve"> These reports and the </w:t>
      </w:r>
      <w:r>
        <w:t>c</w:t>
      </w:r>
      <w:r w:rsidRPr="005944B6">
        <w:t xml:space="preserve">oncluding </w:t>
      </w:r>
      <w:r>
        <w:t>o</w:t>
      </w:r>
      <w:r w:rsidRPr="001E3A2D">
        <w:t>bservations</w:t>
      </w:r>
      <w:r w:rsidRPr="005944B6">
        <w:t xml:space="preserve"> adopted by the Committee are available on the website of the Committee at </w:t>
      </w:r>
      <w:r w:rsidRPr="005944B6">
        <w:rPr>
          <w:color w:val="0000FF"/>
        </w:rPr>
        <w:t>http://www.ohchr.org/EN/HRBodies/CRPD/</w:t>
      </w:r>
      <w:r w:rsidRPr="005944B6">
        <w:t>.</w:t>
      </w:r>
    </w:p>
  </w:footnote>
  <w:footnote w:id="2">
    <w:p w:rsidR="001250C7" w:rsidRPr="005944B6" w:rsidRDefault="001250C7" w:rsidP="00C17A93">
      <w:pPr>
        <w:pStyle w:val="aa"/>
      </w:pPr>
      <w:r w:rsidRPr="005944B6">
        <w:rPr>
          <w:rStyle w:val="ac"/>
          <w:rFonts w:cs="Arial"/>
          <w:szCs w:val="18"/>
        </w:rPr>
        <w:footnoteRef/>
      </w:r>
      <w:r>
        <w:t xml:space="preserve"> For more information see R</w:t>
      </w:r>
      <w:r w:rsidRPr="005944B6">
        <w:t>ule No</w:t>
      </w:r>
      <w:r>
        <w:t>.</w:t>
      </w:r>
      <w:r w:rsidRPr="005944B6">
        <w:t xml:space="preserve"> 5 and Rule No</w:t>
      </w:r>
      <w:r>
        <w:t>.</w:t>
      </w:r>
      <w:r w:rsidRPr="005944B6">
        <w:t xml:space="preserve"> 42 (2) of the Rules of Procedure of the Committee on the Rights of Persons with Disabilities (CRPD/C/4/2), and paragraphs 5 and 13-16 of the Working </w:t>
      </w:r>
      <w:r>
        <w:t>m</w:t>
      </w:r>
      <w:r w:rsidRPr="005944B6">
        <w:t xml:space="preserve">ethods of the Committee on the Rights of Persons with Disabilities (CRPD/C/5/4). </w:t>
      </w:r>
    </w:p>
  </w:footnote>
  <w:footnote w:id="3">
    <w:p w:rsidR="001250C7" w:rsidRPr="005944B6" w:rsidRDefault="001250C7" w:rsidP="00450762">
      <w:pPr>
        <w:pStyle w:val="aa"/>
        <w:rPr>
          <w:b/>
        </w:rPr>
      </w:pPr>
      <w:r w:rsidRPr="005944B6">
        <w:rPr>
          <w:rStyle w:val="ac"/>
          <w:rFonts w:cs="Arial"/>
          <w:szCs w:val="18"/>
        </w:rPr>
        <w:footnoteRef/>
      </w:r>
      <w:r>
        <w:t xml:space="preserve"> See Report on Follow-</w:t>
      </w:r>
      <w:r w:rsidRPr="005944B6">
        <w:t>up to Concluding Observations (CRPD/C/19/R.2).</w:t>
      </w:r>
    </w:p>
  </w:footnote>
  <w:footnote w:id="4">
    <w:p w:rsidR="001250C7" w:rsidRPr="005944B6" w:rsidRDefault="001250C7" w:rsidP="00450762">
      <w:pPr>
        <w:pStyle w:val="aa"/>
      </w:pPr>
      <w:r w:rsidRPr="005944B6">
        <w:rPr>
          <w:rStyle w:val="ac"/>
          <w:rFonts w:cs="Arial"/>
          <w:szCs w:val="18"/>
        </w:rPr>
        <w:footnoteRef/>
      </w:r>
      <w:r w:rsidRPr="005944B6">
        <w:t xml:space="preserve"> See Optional Protocol to the Convention on the Rights of Persons with Disabilities. </w:t>
      </w:r>
    </w:p>
  </w:footnote>
  <w:footnote w:id="5">
    <w:p w:rsidR="001250C7" w:rsidRDefault="001250C7" w:rsidP="00450762">
      <w:pPr>
        <w:pStyle w:val="aa"/>
      </w:pPr>
      <w:r w:rsidRPr="005944B6">
        <w:rPr>
          <w:rStyle w:val="ac"/>
          <w:rFonts w:cs="Arial"/>
          <w:szCs w:val="18"/>
        </w:rPr>
        <w:footnoteRef/>
      </w:r>
      <w:r w:rsidRPr="005944B6">
        <w:t xml:space="preserve"> The State Party, communication number, subjects and articles of the Convention invoked are available on the website of the Committee at</w:t>
      </w:r>
      <w:r>
        <w:t>:</w:t>
      </w:r>
    </w:p>
    <w:p w:rsidR="001250C7" w:rsidRPr="005944B6" w:rsidRDefault="001250C7" w:rsidP="00450762">
      <w:pPr>
        <w:pStyle w:val="aa"/>
      </w:pPr>
      <w:r w:rsidRPr="005944B6">
        <w:rPr>
          <w:color w:val="0000FF"/>
        </w:rPr>
        <w:t>http://www.ohchr.org/EN/HRBodies/CRPD/Pages/Tablependingcases.aspx</w:t>
      </w:r>
      <w:r w:rsidRPr="005944B6">
        <w:t>.</w:t>
      </w:r>
    </w:p>
  </w:footnote>
  <w:footnote w:id="6">
    <w:p w:rsidR="001250C7" w:rsidRPr="005944B6" w:rsidRDefault="001250C7" w:rsidP="00450762">
      <w:pPr>
        <w:pStyle w:val="aa"/>
      </w:pPr>
      <w:r w:rsidRPr="005944B6">
        <w:rPr>
          <w:rStyle w:val="ac"/>
          <w:rFonts w:cs="Arial"/>
          <w:szCs w:val="18"/>
        </w:rPr>
        <w:footnoteRef/>
      </w:r>
      <w:r>
        <w:t xml:space="preserve"> </w:t>
      </w:r>
      <w:r w:rsidRPr="005944B6">
        <w:t xml:space="preserve">See </w:t>
      </w:r>
      <w:r w:rsidRPr="005944B6">
        <w:rPr>
          <w:i/>
        </w:rPr>
        <w:t xml:space="preserve">H.M vs. Sweden </w:t>
      </w:r>
      <w:r w:rsidRPr="005944B6">
        <w:t xml:space="preserve">(CRPD/C/7/D/3/2011), </w:t>
      </w:r>
      <w:r w:rsidRPr="005944B6">
        <w:rPr>
          <w:i/>
        </w:rPr>
        <w:t xml:space="preserve">Jungelin </w:t>
      </w:r>
      <w:r w:rsidRPr="005944B6">
        <w:t>v.</w:t>
      </w:r>
      <w:r w:rsidRPr="005944B6">
        <w:rPr>
          <w:i/>
        </w:rPr>
        <w:t xml:space="preserve"> Sweden</w:t>
      </w:r>
      <w:r w:rsidRPr="005944B6">
        <w:t xml:space="preserve"> (CRPD/C/12/D/5/2011),</w:t>
      </w:r>
      <w:r w:rsidRPr="005944B6">
        <w:rPr>
          <w:i/>
        </w:rPr>
        <w:t xml:space="preserve"> F. v. Austria</w:t>
      </w:r>
      <w:r w:rsidRPr="005944B6">
        <w:t xml:space="preserve"> (CRPD/C/14/D/21/2014),</w:t>
      </w:r>
      <w:r w:rsidRPr="005944B6">
        <w:rPr>
          <w:i/>
        </w:rPr>
        <w:t xml:space="preserve"> Beasley v. Australia</w:t>
      </w:r>
      <w:r w:rsidRPr="005944B6">
        <w:t xml:space="preserve"> (CRPD/C/15/D/11/2013),</w:t>
      </w:r>
      <w:r w:rsidRPr="005944B6">
        <w:rPr>
          <w:i/>
        </w:rPr>
        <w:t xml:space="preserve"> Lockrey v. Australia</w:t>
      </w:r>
      <w:r w:rsidRPr="005944B6">
        <w:t xml:space="preserve"> (CRPD/C/15/D/13/2013), </w:t>
      </w:r>
      <w:r w:rsidRPr="005944B6">
        <w:rPr>
          <w:i/>
        </w:rPr>
        <w:t>Noble v. Australia</w:t>
      </w:r>
      <w:r w:rsidRPr="005944B6">
        <w:t xml:space="preserve"> (CRPD/C/16/D/7/2012)</w:t>
      </w:r>
      <w:r w:rsidRPr="005944B6">
        <w:rPr>
          <w:lang w:val="es-ES"/>
        </w:rPr>
        <w:t xml:space="preserve">, </w:t>
      </w:r>
      <w:r w:rsidRPr="005944B6">
        <w:rPr>
          <w:i/>
          <w:lang w:val="es-ES"/>
        </w:rPr>
        <w:t>X. v. Tanzania</w:t>
      </w:r>
      <w:r w:rsidRPr="005944B6">
        <w:rPr>
          <w:lang w:val="es-ES"/>
        </w:rPr>
        <w:t xml:space="preserve"> (CRPD/C/18/D/22/2014).</w:t>
      </w:r>
    </w:p>
  </w:footnote>
  <w:footnote w:id="7">
    <w:p w:rsidR="001250C7" w:rsidRPr="005944B6" w:rsidRDefault="001250C7" w:rsidP="00450762">
      <w:pPr>
        <w:pStyle w:val="aa"/>
        <w:rPr>
          <w:highlight w:val="yellow"/>
        </w:rPr>
      </w:pPr>
      <w:r w:rsidRPr="005944B6">
        <w:rPr>
          <w:rStyle w:val="ac"/>
          <w:rFonts w:cs="Arial"/>
          <w:szCs w:val="18"/>
        </w:rPr>
        <w:footnoteRef/>
      </w:r>
      <w:r w:rsidRPr="005944B6">
        <w:t xml:space="preserve"> See </w:t>
      </w:r>
      <w:r w:rsidRPr="005944B6">
        <w:rPr>
          <w:i/>
        </w:rPr>
        <w:t>Nyusti and Takács v. Hungary</w:t>
      </w:r>
      <w:r w:rsidRPr="005944B6">
        <w:t xml:space="preserve"> (CRPD/C/9/D/1/2010), </w:t>
      </w:r>
      <w:r w:rsidRPr="005944B6">
        <w:rPr>
          <w:i/>
        </w:rPr>
        <w:t>X v. Argentina</w:t>
      </w:r>
      <w:r w:rsidRPr="005944B6">
        <w:t xml:space="preserve"> (CRPD/C/11/D/8/2012), </w:t>
      </w:r>
      <w:r w:rsidRPr="005944B6">
        <w:rPr>
          <w:i/>
        </w:rPr>
        <w:t>F. v. Austria</w:t>
      </w:r>
      <w:r w:rsidRPr="005944B6">
        <w:t xml:space="preserve"> (CRPD/C/14/D/</w:t>
      </w:r>
      <w:r w:rsidRPr="00917320">
        <w:t>21</w:t>
      </w:r>
      <w:r w:rsidRPr="005944B6">
        <w:t xml:space="preserve">/2014), </w:t>
      </w:r>
      <w:r w:rsidRPr="005944B6">
        <w:rPr>
          <w:i/>
        </w:rPr>
        <w:t>Beasley v. Australia</w:t>
      </w:r>
      <w:r w:rsidRPr="005944B6">
        <w:t xml:space="preserve"> (CRPD/C/15/D/11/2013),</w:t>
      </w:r>
      <w:r w:rsidRPr="005944B6">
        <w:rPr>
          <w:i/>
        </w:rPr>
        <w:t xml:space="preserve"> Lockrey v. Australia</w:t>
      </w:r>
      <w:r w:rsidRPr="005944B6">
        <w:t xml:space="preserve"> (CRPD/C/15/D/13/2013), </w:t>
      </w:r>
      <w:r w:rsidRPr="005944B6">
        <w:rPr>
          <w:bCs/>
          <w:i/>
          <w:lang w:val="en-AU"/>
        </w:rPr>
        <w:t xml:space="preserve">Bacher v. Austria </w:t>
      </w:r>
      <w:r w:rsidRPr="005944B6">
        <w:rPr>
          <w:bCs/>
          <w:lang w:val="en-AU"/>
        </w:rPr>
        <w:t>(CRPD/C/19/D/26/2014).</w:t>
      </w:r>
    </w:p>
  </w:footnote>
  <w:footnote w:id="8">
    <w:p w:rsidR="001250C7" w:rsidRPr="005944B6" w:rsidRDefault="001250C7" w:rsidP="00450762">
      <w:pPr>
        <w:pStyle w:val="aa"/>
      </w:pPr>
      <w:r w:rsidRPr="005944B6">
        <w:rPr>
          <w:rStyle w:val="ac"/>
          <w:rFonts w:cs="Arial"/>
          <w:szCs w:val="18"/>
        </w:rPr>
        <w:footnoteRef/>
      </w:r>
      <w:r w:rsidRPr="005944B6">
        <w:t xml:space="preserve"> See </w:t>
      </w:r>
      <w:r w:rsidRPr="005944B6">
        <w:rPr>
          <w:i/>
        </w:rPr>
        <w:t>A.M. v. Australia</w:t>
      </w:r>
      <w:r>
        <w:t xml:space="preserve"> </w:t>
      </w:r>
      <w:r w:rsidRPr="005944B6">
        <w:t xml:space="preserve">(CRPD/C/13/D/12/2013), </w:t>
      </w:r>
      <w:r w:rsidRPr="005944B6">
        <w:rPr>
          <w:i/>
        </w:rPr>
        <w:t>Beasley v. Australia</w:t>
      </w:r>
      <w:r w:rsidRPr="005944B6">
        <w:t xml:space="preserve"> (CRPD/C/15/D/11/2013),</w:t>
      </w:r>
      <w:r w:rsidRPr="005944B6">
        <w:rPr>
          <w:i/>
        </w:rPr>
        <w:t xml:space="preserve"> Lockrey v. Australia</w:t>
      </w:r>
      <w:r w:rsidRPr="005944B6">
        <w:t xml:space="preserve"> (CRPD/C/15/D/13/2013), </w:t>
      </w:r>
      <w:r w:rsidRPr="005944B6">
        <w:rPr>
          <w:i/>
        </w:rPr>
        <w:t>Noble v. Australia</w:t>
      </w:r>
      <w:r w:rsidRPr="005944B6">
        <w:t xml:space="preserve"> (CRPD/C/16/D/7/2012)</w:t>
      </w:r>
      <w:r w:rsidRPr="005944B6">
        <w:rPr>
          <w:lang w:val="es-ES"/>
        </w:rPr>
        <w:t xml:space="preserve">, </w:t>
      </w:r>
      <w:r w:rsidRPr="005944B6">
        <w:rPr>
          <w:i/>
          <w:lang w:val="es-ES"/>
        </w:rPr>
        <w:t>X. v. Tanzania</w:t>
      </w:r>
      <w:r w:rsidRPr="005944B6">
        <w:rPr>
          <w:lang w:val="es-ES"/>
        </w:rPr>
        <w:t xml:space="preserve"> (CRPD/C/18/D/22/2014), </w:t>
      </w:r>
      <w:r w:rsidRPr="005944B6">
        <w:rPr>
          <w:bCs/>
        </w:rPr>
        <w:t xml:space="preserve">Makarov v. Lithuania (CRPD/C/18/D/30/2015). </w:t>
      </w:r>
    </w:p>
  </w:footnote>
  <w:footnote w:id="9">
    <w:p w:rsidR="001250C7" w:rsidRPr="005944B6" w:rsidRDefault="001250C7" w:rsidP="00450762">
      <w:pPr>
        <w:pStyle w:val="aa"/>
      </w:pPr>
      <w:r w:rsidRPr="005944B6">
        <w:rPr>
          <w:rStyle w:val="ac"/>
          <w:rFonts w:cs="Arial"/>
          <w:szCs w:val="18"/>
        </w:rPr>
        <w:footnoteRef/>
      </w:r>
      <w:r w:rsidRPr="005944B6">
        <w:t xml:space="preserve"> See </w:t>
      </w:r>
      <w:r w:rsidRPr="005944B6">
        <w:rPr>
          <w:i/>
        </w:rPr>
        <w:t>Bujdosó et al. v. Hungary</w:t>
      </w:r>
      <w:r w:rsidRPr="005944B6">
        <w:t xml:space="preserve"> (CRPD/C/10/D/4/2011), </w:t>
      </w:r>
      <w:r w:rsidRPr="005944B6">
        <w:rPr>
          <w:i/>
        </w:rPr>
        <w:t>A.M. v. Australia</w:t>
      </w:r>
      <w:r>
        <w:t xml:space="preserve"> </w:t>
      </w:r>
      <w:r w:rsidRPr="005944B6">
        <w:t xml:space="preserve">(CRPD/C/13/D/12/2013), </w:t>
      </w:r>
      <w:r w:rsidRPr="005944B6">
        <w:rPr>
          <w:i/>
        </w:rPr>
        <w:t>Beasley v. Australia</w:t>
      </w:r>
      <w:r w:rsidRPr="005944B6">
        <w:t xml:space="preserve"> (CRPD/C/15/D/11/2013),</w:t>
      </w:r>
      <w:r w:rsidRPr="005944B6">
        <w:rPr>
          <w:i/>
        </w:rPr>
        <w:t xml:space="preserve"> Lockrey v. Australia</w:t>
      </w:r>
      <w:r w:rsidRPr="005944B6">
        <w:t xml:space="preserve"> (CRPD/C/15/D/13/2013), </w:t>
      </w:r>
      <w:r w:rsidRPr="005944B6">
        <w:rPr>
          <w:i/>
        </w:rPr>
        <w:t xml:space="preserve">Fiona Given v. Australia </w:t>
      </w:r>
      <w:r w:rsidRPr="005944B6">
        <w:t xml:space="preserve">(CRPD/C/19/D/19/2014). </w:t>
      </w:r>
    </w:p>
  </w:footnote>
  <w:footnote w:id="10">
    <w:p w:rsidR="001250C7" w:rsidRPr="005944B6" w:rsidRDefault="001250C7" w:rsidP="00450762">
      <w:pPr>
        <w:pStyle w:val="aa"/>
      </w:pPr>
      <w:r w:rsidRPr="005944B6">
        <w:rPr>
          <w:rStyle w:val="ac"/>
          <w:rFonts w:cs="Arial"/>
          <w:szCs w:val="18"/>
        </w:rPr>
        <w:footnoteRef/>
      </w:r>
      <w:r w:rsidRPr="005944B6">
        <w:t xml:space="preserve"> See the following reports: CRPD/C/10/3, CRPD/C/11/3, CRPD/C/12/3, CRPD/C/13/4, CRPD/C/14/3, CRPD/C/15/3, </w:t>
      </w:r>
      <w:r w:rsidRPr="005944B6">
        <w:rPr>
          <w:rFonts w:eastAsia="Calibri"/>
          <w:lang w:eastAsia="en-GB"/>
        </w:rPr>
        <w:t xml:space="preserve">CRPD/C/16/3, </w:t>
      </w:r>
      <w:r w:rsidRPr="005944B6">
        <w:t xml:space="preserve">CRPD/C/17/3, </w:t>
      </w:r>
      <w:r w:rsidRPr="005944B6">
        <w:rPr>
          <w:bCs/>
          <w:lang w:val="en-AU"/>
        </w:rPr>
        <w:t xml:space="preserve">CRPD/C/19/3. </w:t>
      </w:r>
    </w:p>
  </w:footnote>
  <w:footnote w:id="11">
    <w:p w:rsidR="001250C7" w:rsidRPr="005944B6" w:rsidRDefault="001250C7" w:rsidP="00450762">
      <w:pPr>
        <w:pStyle w:val="aa"/>
      </w:pPr>
      <w:r w:rsidRPr="005944B6">
        <w:rPr>
          <w:rStyle w:val="ac"/>
          <w:rFonts w:cs="Arial"/>
          <w:szCs w:val="18"/>
        </w:rPr>
        <w:footnoteRef/>
      </w:r>
      <w:r w:rsidRPr="005944B6">
        <w:t xml:space="preserve"> See article 6, paragraph 1 of the Optional Protocol to the Convention on the Rights of Persons with Disabilities.</w:t>
      </w:r>
    </w:p>
  </w:footnote>
  <w:footnote w:id="12">
    <w:p w:rsidR="001250C7" w:rsidRPr="005944B6" w:rsidRDefault="001250C7" w:rsidP="00450762">
      <w:pPr>
        <w:pStyle w:val="aa"/>
      </w:pPr>
      <w:r w:rsidRPr="005944B6">
        <w:rPr>
          <w:rStyle w:val="ac"/>
          <w:rFonts w:cs="Arial"/>
          <w:szCs w:val="18"/>
        </w:rPr>
        <w:footnoteRef/>
      </w:r>
      <w:r w:rsidRPr="005944B6">
        <w:t xml:space="preserve"> The preamble (e) of the Convention on the Rights of Persons with Disabilities recognizes that disability is an evolving concept and that disability “results from the interaction between persons with impairments and attitudinal and environmental barriers that hinders their full and effective participation in society on an equal basis with others.”</w:t>
      </w:r>
    </w:p>
  </w:footnote>
  <w:footnote w:id="13">
    <w:p w:rsidR="001250C7" w:rsidRPr="005944B6" w:rsidRDefault="001250C7" w:rsidP="00450762">
      <w:pPr>
        <w:pStyle w:val="aa"/>
      </w:pPr>
      <w:r w:rsidRPr="005944B6">
        <w:rPr>
          <w:rStyle w:val="ac"/>
          <w:rFonts w:cs="Arial"/>
          <w:szCs w:val="18"/>
        </w:rPr>
        <w:footnoteRef/>
      </w:r>
      <w:r w:rsidRPr="005944B6">
        <w:t xml:space="preserve"> In Article 1 CRPD persons with disabilities are defined as persons with disabi</w:t>
      </w:r>
      <w:r>
        <w:t>lities as “those who have long-</w:t>
      </w:r>
      <w:r w:rsidRPr="005944B6">
        <w:t xml:space="preserve">term physical, mental, intellectual or sensory impairments which in interaction with various barriers may hinder their full and effective participation in society on an equal basis with others.” </w:t>
      </w:r>
    </w:p>
  </w:footnote>
  <w:footnote w:id="14">
    <w:p w:rsidR="001250C7" w:rsidRPr="005944B6" w:rsidRDefault="001250C7" w:rsidP="00450762">
      <w:pPr>
        <w:pStyle w:val="aa"/>
      </w:pPr>
      <w:r w:rsidRPr="005944B6">
        <w:rPr>
          <w:rStyle w:val="ac"/>
          <w:rFonts w:cs="Arial"/>
          <w:szCs w:val="18"/>
        </w:rPr>
        <w:footnoteRef/>
      </w:r>
      <w:r w:rsidRPr="005944B6">
        <w:t xml:space="preserve"> A/66/55, Annex IX, paragraph 3. </w:t>
      </w:r>
    </w:p>
  </w:footnote>
  <w:footnote w:id="15">
    <w:p w:rsidR="001250C7" w:rsidRPr="005944B6" w:rsidRDefault="001250C7" w:rsidP="00450762">
      <w:pPr>
        <w:pStyle w:val="aa"/>
      </w:pPr>
      <w:r w:rsidRPr="005944B6">
        <w:rPr>
          <w:rStyle w:val="ac"/>
          <w:rFonts w:cs="Arial"/>
          <w:szCs w:val="18"/>
        </w:rPr>
        <w:footnoteRef/>
      </w:r>
      <w:r w:rsidRPr="005944B6">
        <w:t xml:space="preserve"> See General Comment No. 4 (CRPD/C/GC/4), paragraph 4 (a).</w:t>
      </w:r>
    </w:p>
  </w:footnote>
  <w:footnote w:id="16">
    <w:p w:rsidR="001250C7" w:rsidRPr="005944B6" w:rsidRDefault="001250C7" w:rsidP="00450762">
      <w:pPr>
        <w:pStyle w:val="aa"/>
      </w:pPr>
      <w:r w:rsidRPr="005944B6">
        <w:rPr>
          <w:rStyle w:val="ac"/>
          <w:rFonts w:cs="Arial"/>
          <w:szCs w:val="18"/>
        </w:rPr>
        <w:footnoteRef/>
      </w:r>
      <w:r w:rsidRPr="005944B6">
        <w:t xml:space="preserve"> General Comment No. 4, paragraph 44.</w:t>
      </w:r>
    </w:p>
  </w:footnote>
  <w:footnote w:id="17">
    <w:p w:rsidR="001250C7" w:rsidRPr="005944B6" w:rsidRDefault="001250C7" w:rsidP="00BA7983">
      <w:pPr>
        <w:pStyle w:val="aa"/>
      </w:pPr>
      <w:r w:rsidRPr="005944B6">
        <w:rPr>
          <w:rStyle w:val="ac"/>
          <w:rFonts w:cs="Arial"/>
          <w:szCs w:val="18"/>
        </w:rPr>
        <w:footnoteRef/>
      </w:r>
      <w:r>
        <w:t xml:space="preserve"> </w:t>
      </w:r>
      <w:r w:rsidRPr="005944B6">
        <w:t>General Comment No. 4, paragraph 62.</w:t>
      </w:r>
    </w:p>
  </w:footnote>
  <w:footnote w:id="18">
    <w:p w:rsidR="001250C7" w:rsidRPr="005944B6" w:rsidRDefault="001250C7" w:rsidP="00BA7983">
      <w:pPr>
        <w:pStyle w:val="aa"/>
      </w:pPr>
      <w:r w:rsidRPr="005944B6">
        <w:rPr>
          <w:rStyle w:val="ac"/>
          <w:rFonts w:cs="Arial"/>
          <w:szCs w:val="18"/>
        </w:rPr>
        <w:footnoteRef/>
      </w:r>
      <w:r w:rsidRPr="005944B6">
        <w:t xml:space="preserve"> General Comment No. 4, paragraph 36.</w:t>
      </w:r>
    </w:p>
  </w:footnote>
  <w:footnote w:id="19">
    <w:p w:rsidR="001250C7" w:rsidRPr="005944B6" w:rsidRDefault="001250C7" w:rsidP="00BA7983">
      <w:pPr>
        <w:pStyle w:val="aa"/>
      </w:pPr>
      <w:r w:rsidRPr="005944B6">
        <w:rPr>
          <w:rStyle w:val="ac"/>
          <w:rFonts w:cs="Arial"/>
          <w:szCs w:val="18"/>
        </w:rPr>
        <w:footnoteRef/>
      </w:r>
      <w:r>
        <w:t xml:space="preserve"> </w:t>
      </w:r>
      <w:r w:rsidRPr="005944B6">
        <w:t>General Comment No. 5 (CRPD/C/GC/5), paragraph 60.</w:t>
      </w:r>
    </w:p>
  </w:footnote>
  <w:footnote w:id="20">
    <w:p w:rsidR="001250C7" w:rsidRPr="005944B6" w:rsidRDefault="001250C7" w:rsidP="00BA7983">
      <w:pPr>
        <w:pStyle w:val="aa"/>
      </w:pPr>
      <w:r w:rsidRPr="005944B6">
        <w:rPr>
          <w:rStyle w:val="ac"/>
          <w:rFonts w:cs="Arial"/>
          <w:szCs w:val="18"/>
        </w:rPr>
        <w:footnoteRef/>
      </w:r>
      <w:r w:rsidRPr="005944B6">
        <w:t xml:space="preserve"> General Comment No. 6 (CRPD/C/GC/6), paragraph 9.</w:t>
      </w:r>
    </w:p>
  </w:footnote>
  <w:footnote w:id="21">
    <w:p w:rsidR="001250C7" w:rsidRPr="005944B6" w:rsidRDefault="001250C7" w:rsidP="00BA7983">
      <w:pPr>
        <w:pStyle w:val="aa"/>
      </w:pPr>
      <w:r w:rsidRPr="005944B6">
        <w:rPr>
          <w:rStyle w:val="ac"/>
          <w:rFonts w:cs="Arial"/>
          <w:szCs w:val="18"/>
        </w:rPr>
        <w:footnoteRef/>
      </w:r>
      <w:r w:rsidRPr="005944B6">
        <w:t xml:space="preserve"> Other articles under which the Committee mentioned the human rights model of disability in one or a couple of concluding observations are articles 7, 12, 15, 19, 24, 27, 31 and 32. </w:t>
      </w:r>
    </w:p>
  </w:footnote>
  <w:footnote w:id="22">
    <w:p w:rsidR="001250C7" w:rsidRPr="005944B6" w:rsidRDefault="001250C7" w:rsidP="00BA7983">
      <w:pPr>
        <w:pStyle w:val="aa"/>
      </w:pPr>
      <w:r w:rsidRPr="005944B6">
        <w:rPr>
          <w:rStyle w:val="ac"/>
          <w:rFonts w:cs="Arial"/>
          <w:szCs w:val="18"/>
        </w:rPr>
        <w:footnoteRef/>
      </w:r>
      <w:r w:rsidRPr="005944B6">
        <w:t xml:space="preserve"> General Comment No. 5, paragraph 2. </w:t>
      </w:r>
    </w:p>
  </w:footnote>
  <w:footnote w:id="23">
    <w:p w:rsidR="001250C7" w:rsidRPr="005944B6" w:rsidRDefault="001250C7" w:rsidP="00BA7983">
      <w:pPr>
        <w:pStyle w:val="aa"/>
      </w:pPr>
      <w:r w:rsidRPr="005944B6">
        <w:rPr>
          <w:rStyle w:val="ac"/>
          <w:rFonts w:cs="Arial"/>
          <w:szCs w:val="18"/>
        </w:rPr>
        <w:footnoteRef/>
      </w:r>
      <w:r w:rsidRPr="005944B6">
        <w:t xml:space="preserve"> General Comment No. 3, paragraph 7.</w:t>
      </w:r>
    </w:p>
  </w:footnote>
  <w:footnote w:id="24">
    <w:p w:rsidR="001250C7" w:rsidRPr="005944B6" w:rsidRDefault="001250C7" w:rsidP="00BA7983">
      <w:pPr>
        <w:pStyle w:val="aa"/>
      </w:pPr>
      <w:r w:rsidRPr="005944B6">
        <w:rPr>
          <w:rStyle w:val="ac"/>
          <w:rFonts w:cs="Arial"/>
          <w:szCs w:val="18"/>
        </w:rPr>
        <w:footnoteRef/>
      </w:r>
      <w:r w:rsidRPr="005944B6">
        <w:t xml:space="preserve"> General Comment No. 3, paragraph 23. </w:t>
      </w:r>
    </w:p>
  </w:footnote>
  <w:footnote w:id="25">
    <w:p w:rsidR="001250C7" w:rsidRPr="005944B6" w:rsidRDefault="001250C7" w:rsidP="00BA7983">
      <w:pPr>
        <w:pStyle w:val="aa"/>
      </w:pPr>
      <w:r w:rsidRPr="005944B6">
        <w:rPr>
          <w:rStyle w:val="ac"/>
          <w:rFonts w:cs="Arial"/>
          <w:szCs w:val="18"/>
        </w:rPr>
        <w:footnoteRef/>
      </w:r>
      <w:r w:rsidRPr="005944B6">
        <w:t xml:space="preserve"> General Comment No</w:t>
      </w:r>
      <w:r>
        <w:t>. 5</w:t>
      </w:r>
      <w:r w:rsidRPr="005944B6">
        <w:t xml:space="preserve">, paragraphs 61 and 71; General Comment No. 6, paragraph 59. </w:t>
      </w:r>
    </w:p>
  </w:footnote>
  <w:footnote w:id="26">
    <w:p w:rsidR="001250C7" w:rsidRPr="005944B6" w:rsidRDefault="001250C7" w:rsidP="00BA7983">
      <w:pPr>
        <w:pStyle w:val="aa"/>
      </w:pPr>
      <w:r w:rsidRPr="005944B6">
        <w:rPr>
          <w:rStyle w:val="ac"/>
          <w:rFonts w:cs="Arial"/>
          <w:szCs w:val="18"/>
        </w:rPr>
        <w:footnoteRef/>
      </w:r>
      <w:r w:rsidRPr="005944B6">
        <w:t xml:space="preserve"> See for instance concluding observations on Haiti (CRPD/C/HTI/CO/1), paragraph 5. </w:t>
      </w:r>
    </w:p>
  </w:footnote>
  <w:footnote w:id="27">
    <w:p w:rsidR="001250C7" w:rsidRPr="005944B6" w:rsidRDefault="001250C7" w:rsidP="00BA7983">
      <w:pPr>
        <w:pStyle w:val="aa"/>
      </w:pPr>
      <w:r w:rsidRPr="005944B6">
        <w:rPr>
          <w:rStyle w:val="ac"/>
          <w:rFonts w:cs="Arial"/>
          <w:szCs w:val="18"/>
        </w:rPr>
        <w:footnoteRef/>
      </w:r>
      <w:r w:rsidRPr="005944B6">
        <w:t xml:space="preserve"> See for instance concluding observations on Oman (CRPD/C/OMN/CO/1), paragraph 10. </w:t>
      </w:r>
    </w:p>
  </w:footnote>
  <w:footnote w:id="28">
    <w:p w:rsidR="001250C7" w:rsidRPr="005944B6" w:rsidRDefault="001250C7" w:rsidP="00BA7983">
      <w:pPr>
        <w:pStyle w:val="aa"/>
      </w:pPr>
      <w:r w:rsidRPr="005944B6">
        <w:rPr>
          <w:rStyle w:val="ac"/>
          <w:rFonts w:cs="Arial"/>
          <w:szCs w:val="18"/>
        </w:rPr>
        <w:footnoteRef/>
      </w:r>
      <w:r w:rsidRPr="005944B6">
        <w:t xml:space="preserve"> See first declaration by the Committee “Committee on the Rights of Persons with Disabilities: Looking forward” of 27 February 2009 (A/66/55, Annex IX), paragraph 6. </w:t>
      </w:r>
    </w:p>
  </w:footnote>
  <w:footnote w:id="29">
    <w:p w:rsidR="001250C7" w:rsidRPr="005944B6" w:rsidRDefault="001250C7" w:rsidP="00BA7983">
      <w:pPr>
        <w:pStyle w:val="aa"/>
      </w:pPr>
      <w:r w:rsidRPr="005944B6">
        <w:rPr>
          <w:rStyle w:val="ac"/>
          <w:rFonts w:cs="Arial"/>
          <w:szCs w:val="18"/>
        </w:rPr>
        <w:footnoteRef/>
      </w:r>
      <w:r w:rsidRPr="005944B6">
        <w:t xml:space="preserve"> General Comment No. 4, paragraph 40. </w:t>
      </w:r>
    </w:p>
  </w:footnote>
  <w:footnote w:id="30">
    <w:p w:rsidR="001250C7" w:rsidRPr="005944B6" w:rsidRDefault="001250C7" w:rsidP="00BA7983">
      <w:pPr>
        <w:pStyle w:val="aa"/>
      </w:pPr>
      <w:r w:rsidRPr="005944B6">
        <w:rPr>
          <w:rStyle w:val="ac"/>
          <w:rFonts w:cs="Arial"/>
          <w:szCs w:val="18"/>
        </w:rPr>
        <w:footnoteRef/>
      </w:r>
      <w:r w:rsidRPr="005944B6">
        <w:t xml:space="preserve"> General Comment No. 4, paragraph 41.</w:t>
      </w:r>
    </w:p>
  </w:footnote>
  <w:footnote w:id="31">
    <w:p w:rsidR="001250C7" w:rsidRPr="005944B6" w:rsidRDefault="001250C7" w:rsidP="00671C3D">
      <w:pPr>
        <w:pStyle w:val="aa"/>
      </w:pPr>
      <w:r w:rsidRPr="005944B6">
        <w:rPr>
          <w:rStyle w:val="ac"/>
          <w:rFonts w:cs="Arial"/>
          <w:szCs w:val="18"/>
        </w:rPr>
        <w:footnoteRef/>
      </w:r>
      <w:r w:rsidRPr="005944B6">
        <w:t xml:space="preserve"> General Comment No. 5, paragraph 44. </w:t>
      </w:r>
    </w:p>
  </w:footnote>
  <w:footnote w:id="32">
    <w:p w:rsidR="001250C7" w:rsidRPr="005944B6" w:rsidRDefault="001250C7" w:rsidP="00671C3D">
      <w:pPr>
        <w:pStyle w:val="aa"/>
      </w:pPr>
      <w:r w:rsidRPr="005944B6">
        <w:rPr>
          <w:rStyle w:val="ac"/>
          <w:rFonts w:cs="Arial"/>
          <w:szCs w:val="18"/>
        </w:rPr>
        <w:footnoteRef/>
      </w:r>
      <w:r w:rsidRPr="005944B6">
        <w:t xml:space="preserve"> See Report on the Inquiry concerning the United Kingdom (CRPD/C/15/4).</w:t>
      </w:r>
    </w:p>
  </w:footnote>
  <w:footnote w:id="33">
    <w:p w:rsidR="001250C7" w:rsidRPr="005944B6" w:rsidRDefault="001250C7" w:rsidP="00671C3D">
      <w:pPr>
        <w:pStyle w:val="aa"/>
      </w:pPr>
      <w:r w:rsidRPr="005944B6">
        <w:rPr>
          <w:rStyle w:val="ac"/>
          <w:rFonts w:cs="Arial"/>
          <w:szCs w:val="18"/>
        </w:rPr>
        <w:footnoteRef/>
      </w:r>
      <w:r w:rsidRPr="005944B6">
        <w:t xml:space="preserve"> General Comment No. 1 (CRPD/C/GC/1), paragraph 30.</w:t>
      </w:r>
    </w:p>
  </w:footnote>
  <w:footnote w:id="34">
    <w:p w:rsidR="001250C7" w:rsidRPr="005944B6" w:rsidRDefault="001250C7" w:rsidP="00671C3D">
      <w:pPr>
        <w:pStyle w:val="aa"/>
      </w:pPr>
      <w:r w:rsidRPr="005944B6">
        <w:rPr>
          <w:rStyle w:val="ac"/>
          <w:rFonts w:cs="Arial"/>
          <w:szCs w:val="18"/>
        </w:rPr>
        <w:footnoteRef/>
      </w:r>
      <w:r w:rsidRPr="005944B6">
        <w:t xml:space="preserve"> Concluding observations on Spain (CRPD/C/ESP/CO/1), paragraph 44 in relation to inclusive education; General Comment No. 4, paragraph 31; General Comment No. 5, paragraph 46.</w:t>
      </w:r>
    </w:p>
  </w:footnote>
  <w:footnote w:id="35">
    <w:p w:rsidR="001250C7" w:rsidRPr="005944B6" w:rsidRDefault="001250C7" w:rsidP="00671C3D">
      <w:pPr>
        <w:pStyle w:val="aa"/>
      </w:pPr>
      <w:r w:rsidRPr="005944B6">
        <w:rPr>
          <w:rStyle w:val="ac"/>
          <w:rFonts w:cs="Arial"/>
          <w:szCs w:val="18"/>
        </w:rPr>
        <w:footnoteRef/>
      </w:r>
      <w:r w:rsidRPr="005944B6">
        <w:t xml:space="preserve"> General Comment No. 2, paragraph 48. </w:t>
      </w:r>
    </w:p>
  </w:footnote>
  <w:footnote w:id="36">
    <w:p w:rsidR="001250C7" w:rsidRPr="005944B6" w:rsidRDefault="001250C7" w:rsidP="00671C3D">
      <w:pPr>
        <w:pStyle w:val="aa"/>
      </w:pPr>
      <w:r w:rsidRPr="005944B6">
        <w:rPr>
          <w:rStyle w:val="ac"/>
          <w:rFonts w:cs="Arial"/>
          <w:szCs w:val="18"/>
        </w:rPr>
        <w:footnoteRef/>
      </w:r>
      <w:r w:rsidRPr="005944B6">
        <w:t xml:space="preserve"> See “Joint statement CRPD-GANHRI on monitoring article 19 at the national level”, of March 2018.</w:t>
      </w:r>
    </w:p>
  </w:footnote>
  <w:footnote w:id="37">
    <w:p w:rsidR="001250C7" w:rsidRPr="005944B6" w:rsidRDefault="001250C7" w:rsidP="00671C3D">
      <w:pPr>
        <w:pStyle w:val="aa"/>
      </w:pPr>
      <w:r w:rsidRPr="005944B6">
        <w:rPr>
          <w:rStyle w:val="ac"/>
          <w:rFonts w:cs="Arial"/>
          <w:szCs w:val="18"/>
        </w:rPr>
        <w:footnoteRef/>
      </w:r>
      <w:r w:rsidRPr="005944B6">
        <w:t xml:space="preserve"> General Comment No. 4, paragraph 74.</w:t>
      </w:r>
    </w:p>
  </w:footnote>
  <w:footnote w:id="38">
    <w:p w:rsidR="001250C7" w:rsidRPr="005944B6" w:rsidRDefault="001250C7" w:rsidP="00671C3D">
      <w:pPr>
        <w:pStyle w:val="aa"/>
      </w:pPr>
      <w:r w:rsidRPr="005944B6">
        <w:rPr>
          <w:rStyle w:val="ac"/>
          <w:rFonts w:cs="Arial"/>
          <w:szCs w:val="18"/>
        </w:rPr>
        <w:footnoteRef/>
      </w:r>
      <w:r w:rsidRPr="005944B6">
        <w:t xml:space="preserve"> See Guidelines on independent monitoring frameworks, paragraph 5. </w:t>
      </w:r>
    </w:p>
  </w:footnote>
  <w:footnote w:id="39">
    <w:p w:rsidR="001250C7" w:rsidRPr="005944B6" w:rsidRDefault="001250C7" w:rsidP="00671C3D">
      <w:pPr>
        <w:pStyle w:val="aa"/>
      </w:pPr>
      <w:r w:rsidRPr="005944B6">
        <w:rPr>
          <w:rStyle w:val="ac"/>
          <w:rFonts w:cs="Arial"/>
          <w:szCs w:val="18"/>
        </w:rPr>
        <w:footnoteRef/>
      </w:r>
      <w:r w:rsidRPr="005944B6">
        <w:t xml:space="preserve"> The Committee held its first ever meeting with NHRIs and NMMs in September 2014, at its twelfth session. See: Outcome of the meeting between the Committee and NHRIS (CRPD/C/12/2, annex V). </w:t>
      </w:r>
    </w:p>
  </w:footnote>
  <w:footnote w:id="40">
    <w:p w:rsidR="001250C7" w:rsidRPr="005944B6" w:rsidRDefault="001250C7" w:rsidP="00671C3D">
      <w:pPr>
        <w:pStyle w:val="aa"/>
      </w:pPr>
      <w:r w:rsidRPr="005944B6">
        <w:rPr>
          <w:rStyle w:val="ac"/>
          <w:rFonts w:cs="Arial"/>
          <w:szCs w:val="18"/>
        </w:rPr>
        <w:footnoteRef/>
      </w:r>
      <w:r w:rsidRPr="005944B6">
        <w:t xml:space="preserve"> See Guidelines on independent monitoring frameworks. </w:t>
      </w:r>
    </w:p>
  </w:footnote>
  <w:footnote w:id="41">
    <w:p w:rsidR="001250C7" w:rsidRPr="005944B6" w:rsidRDefault="001250C7" w:rsidP="00671C3D">
      <w:pPr>
        <w:pStyle w:val="aa"/>
      </w:pPr>
      <w:r w:rsidRPr="005944B6">
        <w:rPr>
          <w:rStyle w:val="ac"/>
          <w:rFonts w:cs="Arial"/>
          <w:szCs w:val="18"/>
        </w:rPr>
        <w:footnoteRef/>
      </w:r>
      <w:r w:rsidRPr="005944B6">
        <w:t xml:space="preserve"> See General Comment No. 2, paragraph 35. </w:t>
      </w:r>
    </w:p>
  </w:footnote>
  <w:footnote w:id="42">
    <w:p w:rsidR="001250C7" w:rsidRPr="005944B6" w:rsidRDefault="001250C7" w:rsidP="00671C3D">
      <w:pPr>
        <w:pStyle w:val="aa"/>
      </w:pPr>
      <w:r w:rsidRPr="005944B6">
        <w:rPr>
          <w:rStyle w:val="ac"/>
          <w:rFonts w:cs="Arial"/>
          <w:szCs w:val="18"/>
        </w:rPr>
        <w:footnoteRef/>
      </w:r>
      <w:r w:rsidRPr="005944B6">
        <w:t xml:space="preserve"> See Guidelines on periodic reporting (CRPD/C/3), paragraph 10. </w:t>
      </w:r>
    </w:p>
  </w:footnote>
  <w:footnote w:id="43">
    <w:p w:rsidR="001250C7" w:rsidRPr="005944B6" w:rsidRDefault="001250C7" w:rsidP="001250C7">
      <w:pPr>
        <w:pStyle w:val="aa"/>
      </w:pPr>
      <w:r w:rsidRPr="005944B6">
        <w:rPr>
          <w:rStyle w:val="ac"/>
          <w:rFonts w:cs="Arial"/>
          <w:szCs w:val="18"/>
        </w:rPr>
        <w:footnoteRef/>
      </w:r>
      <w:r w:rsidRPr="005944B6">
        <w:t xml:space="preserve"> General Comment No. 2, paragraph 19.</w:t>
      </w:r>
    </w:p>
  </w:footnote>
  <w:footnote w:id="44">
    <w:p w:rsidR="001250C7" w:rsidRPr="005944B6" w:rsidRDefault="001250C7" w:rsidP="001250C7">
      <w:pPr>
        <w:pStyle w:val="aa"/>
      </w:pPr>
      <w:r w:rsidRPr="005944B6">
        <w:rPr>
          <w:rStyle w:val="ac"/>
          <w:rFonts w:cs="Arial"/>
          <w:szCs w:val="18"/>
        </w:rPr>
        <w:footnoteRef/>
      </w:r>
      <w:r w:rsidRPr="005944B6">
        <w:t xml:space="preserve"> General Comment No. 3, paragraph 17(e); General Comment No. 6, paragraphs 39. </w:t>
      </w:r>
    </w:p>
  </w:footnote>
  <w:footnote w:id="45">
    <w:p w:rsidR="001250C7" w:rsidRPr="005944B6" w:rsidRDefault="001250C7" w:rsidP="001250C7">
      <w:pPr>
        <w:pStyle w:val="aa"/>
      </w:pPr>
      <w:r w:rsidRPr="005944B6">
        <w:rPr>
          <w:rStyle w:val="ac"/>
          <w:rFonts w:cs="Arial"/>
          <w:szCs w:val="18"/>
        </w:rPr>
        <w:footnoteRef/>
      </w:r>
      <w:r w:rsidRPr="005944B6">
        <w:t xml:space="preserve"> General Comment No. 4, paragraph 48; General Comment No. 5, paragraph 77.</w:t>
      </w:r>
    </w:p>
  </w:footnote>
  <w:footnote w:id="46">
    <w:p w:rsidR="001250C7" w:rsidRPr="005944B6" w:rsidRDefault="001250C7" w:rsidP="001250C7">
      <w:pPr>
        <w:pStyle w:val="aa"/>
      </w:pPr>
      <w:r w:rsidRPr="005944B6">
        <w:rPr>
          <w:rStyle w:val="ac"/>
          <w:rFonts w:cs="Arial"/>
          <w:szCs w:val="18"/>
        </w:rPr>
        <w:footnoteRef/>
      </w:r>
      <w:r w:rsidRPr="005944B6">
        <w:t xml:space="preserve"> General Comment No. 2, paragraphs 19 and 35.</w:t>
      </w:r>
    </w:p>
  </w:footnote>
  <w:footnote w:id="47">
    <w:p w:rsidR="001250C7" w:rsidRPr="005944B6" w:rsidRDefault="001250C7" w:rsidP="001250C7">
      <w:pPr>
        <w:pStyle w:val="aa"/>
      </w:pPr>
      <w:r w:rsidRPr="005944B6">
        <w:rPr>
          <w:rStyle w:val="ac"/>
          <w:rFonts w:cs="Arial"/>
          <w:szCs w:val="18"/>
        </w:rPr>
        <w:footnoteRef/>
      </w:r>
      <w:r w:rsidRPr="005944B6">
        <w:t xml:space="preserve"> General Comment No. 2, paragraph 35; General Comment No. 4, paragraph 48; General Comment No. 5, paragraph 77; General Comment No. 6, paragraph 73(f). </w:t>
      </w:r>
    </w:p>
  </w:footnote>
  <w:footnote w:id="48">
    <w:p w:rsidR="001250C7" w:rsidRPr="005944B6" w:rsidRDefault="001250C7" w:rsidP="001250C7">
      <w:pPr>
        <w:pStyle w:val="aa"/>
      </w:pPr>
      <w:r w:rsidRPr="005944B6">
        <w:rPr>
          <w:rStyle w:val="ac"/>
          <w:rFonts w:cs="Arial"/>
          <w:szCs w:val="18"/>
        </w:rPr>
        <w:footnoteRef/>
      </w:r>
      <w:r w:rsidRPr="005944B6">
        <w:t xml:space="preserve"> General Comment No. 6, paragraphs 39. </w:t>
      </w:r>
    </w:p>
  </w:footnote>
  <w:footnote w:id="49">
    <w:p w:rsidR="001250C7" w:rsidRPr="005944B6" w:rsidRDefault="001250C7" w:rsidP="001250C7">
      <w:pPr>
        <w:pStyle w:val="aa"/>
      </w:pPr>
      <w:r w:rsidRPr="005944B6">
        <w:rPr>
          <w:rStyle w:val="ac"/>
          <w:rFonts w:cs="Arial"/>
          <w:szCs w:val="18"/>
        </w:rPr>
        <w:footnoteRef/>
      </w:r>
      <w:r w:rsidRPr="005944B6">
        <w:t xml:space="preserve"> General Comment No. 6, paragraph 39; General Comment No. 3, paragraph 62; General Comment No. 4, paragraph 4(d).</w:t>
      </w:r>
    </w:p>
  </w:footnote>
  <w:footnote w:id="50">
    <w:p w:rsidR="001250C7" w:rsidRPr="005944B6" w:rsidRDefault="001250C7" w:rsidP="001250C7">
      <w:pPr>
        <w:pStyle w:val="aa"/>
      </w:pPr>
      <w:r w:rsidRPr="005944B6">
        <w:rPr>
          <w:rStyle w:val="ac"/>
          <w:rFonts w:cs="Arial"/>
          <w:szCs w:val="18"/>
        </w:rPr>
        <w:footnoteRef/>
      </w:r>
      <w:r w:rsidRPr="005944B6">
        <w:t xml:space="preserve"> See for instance General Comment No. 5, paragraph 68.</w:t>
      </w:r>
    </w:p>
  </w:footnote>
  <w:footnote w:id="51">
    <w:p w:rsidR="001250C7" w:rsidRPr="005944B6" w:rsidRDefault="001250C7" w:rsidP="001250C7">
      <w:pPr>
        <w:pStyle w:val="aa"/>
      </w:pPr>
      <w:r w:rsidRPr="005944B6">
        <w:rPr>
          <w:rStyle w:val="ac"/>
          <w:rFonts w:cs="Arial"/>
          <w:szCs w:val="18"/>
        </w:rPr>
        <w:footnoteRef/>
      </w:r>
      <w:r w:rsidRPr="005944B6">
        <w:t xml:space="preserve"> General Comment No. 5, paragraph 71.</w:t>
      </w:r>
    </w:p>
  </w:footnote>
  <w:footnote w:id="52">
    <w:p w:rsidR="001250C7" w:rsidRPr="005944B6" w:rsidRDefault="001250C7" w:rsidP="001250C7">
      <w:pPr>
        <w:pStyle w:val="aa"/>
      </w:pPr>
      <w:r w:rsidRPr="005944B6">
        <w:rPr>
          <w:rStyle w:val="ac"/>
          <w:rFonts w:cs="Arial"/>
          <w:szCs w:val="18"/>
        </w:rPr>
        <w:footnoteRef/>
      </w:r>
      <w:r w:rsidRPr="005944B6">
        <w:t xml:space="preserve"> General Comment No. 5, paragraph 71.</w:t>
      </w:r>
    </w:p>
  </w:footnote>
  <w:footnote w:id="53">
    <w:p w:rsidR="001250C7" w:rsidRPr="005944B6" w:rsidRDefault="001250C7" w:rsidP="001250C7">
      <w:pPr>
        <w:pStyle w:val="aa"/>
      </w:pPr>
      <w:r w:rsidRPr="005944B6">
        <w:rPr>
          <w:rStyle w:val="ac"/>
          <w:rFonts w:cs="Arial"/>
          <w:szCs w:val="18"/>
        </w:rPr>
        <w:footnoteRef/>
      </w:r>
      <w:r w:rsidRPr="005944B6">
        <w:t xml:space="preserve"> See Guidelines on periodic reporting (CRPD/C/3), paragraph 33 (e).</w:t>
      </w:r>
      <w:r>
        <w:t xml:space="preserve"> </w:t>
      </w:r>
    </w:p>
  </w:footnote>
  <w:footnote w:id="54">
    <w:p w:rsidR="001250C7" w:rsidRPr="005944B6" w:rsidRDefault="001250C7" w:rsidP="001250C7">
      <w:pPr>
        <w:pStyle w:val="aa"/>
      </w:pPr>
      <w:r w:rsidRPr="005944B6">
        <w:rPr>
          <w:rStyle w:val="ac"/>
          <w:rFonts w:cs="Arial"/>
          <w:szCs w:val="18"/>
        </w:rPr>
        <w:footnoteRef/>
      </w:r>
      <w:r w:rsidRPr="005944B6">
        <w:t xml:space="preserve"> General Comment No. 6, paragraph 34. </w:t>
      </w:r>
    </w:p>
  </w:footnote>
  <w:footnote w:id="55">
    <w:p w:rsidR="001250C7" w:rsidRPr="005944B6" w:rsidRDefault="001250C7" w:rsidP="001250C7">
      <w:pPr>
        <w:pStyle w:val="aa"/>
      </w:pPr>
      <w:r w:rsidRPr="005944B6">
        <w:rPr>
          <w:rStyle w:val="ac"/>
          <w:rFonts w:cs="Arial"/>
          <w:szCs w:val="18"/>
        </w:rPr>
        <w:footnoteRef/>
      </w:r>
      <w:r w:rsidRPr="005944B6">
        <w:t xml:space="preserve"> General Comment No. 5, paragraph 71.</w:t>
      </w:r>
    </w:p>
  </w:footnote>
  <w:footnote w:id="56">
    <w:p w:rsidR="001250C7" w:rsidRPr="005944B6" w:rsidRDefault="001250C7" w:rsidP="001250C7">
      <w:pPr>
        <w:pStyle w:val="aa"/>
      </w:pPr>
      <w:r w:rsidRPr="005944B6">
        <w:rPr>
          <w:rStyle w:val="ac"/>
          <w:rFonts w:cs="Arial"/>
          <w:szCs w:val="18"/>
        </w:rPr>
        <w:footnoteRef/>
      </w:r>
      <w:r w:rsidRPr="005944B6">
        <w:t xml:space="preserve"> See Guidelines on periodic reporting (CRPD/C/3), paragraph 33(c).</w:t>
      </w:r>
    </w:p>
  </w:footnote>
  <w:footnote w:id="57">
    <w:p w:rsidR="001250C7" w:rsidRPr="005944B6" w:rsidRDefault="001250C7" w:rsidP="001250C7">
      <w:pPr>
        <w:pStyle w:val="aa"/>
      </w:pPr>
      <w:r w:rsidRPr="005944B6">
        <w:rPr>
          <w:rStyle w:val="ac"/>
          <w:rFonts w:cs="Arial"/>
          <w:szCs w:val="18"/>
        </w:rPr>
        <w:footnoteRef/>
      </w:r>
      <w:r w:rsidRPr="005944B6">
        <w:t xml:space="preserve"> See for instance</w:t>
      </w:r>
      <w:r>
        <w:t xml:space="preserve"> c</w:t>
      </w:r>
      <w:r w:rsidRPr="005944B6">
        <w:t xml:space="preserve">oncluding observations on Jordan (CRPD/C/JOR/CO/1), paragraph 60. </w:t>
      </w:r>
    </w:p>
  </w:footnote>
  <w:footnote w:id="58">
    <w:p w:rsidR="001250C7" w:rsidRPr="005944B6" w:rsidRDefault="001250C7" w:rsidP="001250C7">
      <w:pPr>
        <w:pStyle w:val="aa"/>
      </w:pPr>
      <w:r w:rsidRPr="005944B6">
        <w:rPr>
          <w:rStyle w:val="ac"/>
          <w:rFonts w:cs="Arial"/>
          <w:szCs w:val="18"/>
        </w:rPr>
        <w:footnoteRef/>
      </w:r>
      <w:r>
        <w:t xml:space="preserve"> See c</w:t>
      </w:r>
      <w:r w:rsidRPr="005944B6">
        <w:t xml:space="preserve">oncluding observations on the United Kingdom (CRPD/C/GBR/CO/1), paragraph 65. </w:t>
      </w:r>
    </w:p>
  </w:footnote>
  <w:footnote w:id="59">
    <w:p w:rsidR="001250C7" w:rsidRPr="005944B6" w:rsidRDefault="001250C7" w:rsidP="001250C7">
      <w:pPr>
        <w:pStyle w:val="aa"/>
      </w:pPr>
      <w:r w:rsidRPr="005944B6">
        <w:rPr>
          <w:rStyle w:val="ac"/>
          <w:rFonts w:cs="Arial"/>
          <w:szCs w:val="18"/>
        </w:rPr>
        <w:footnoteRef/>
      </w:r>
      <w:r w:rsidRPr="005944B6">
        <w:t xml:space="preserve"> General Comment No. 2, paragraphs 27 and 47.</w:t>
      </w:r>
    </w:p>
  </w:footnote>
  <w:footnote w:id="60">
    <w:p w:rsidR="001250C7" w:rsidRPr="005944B6" w:rsidRDefault="001250C7" w:rsidP="001250C7">
      <w:pPr>
        <w:pStyle w:val="aa"/>
      </w:pPr>
      <w:r w:rsidRPr="005944B6">
        <w:rPr>
          <w:rStyle w:val="ac"/>
          <w:rFonts w:cs="Arial"/>
          <w:szCs w:val="18"/>
        </w:rPr>
        <w:footnoteRef/>
      </w:r>
      <w:r w:rsidRPr="005944B6">
        <w:t xml:space="preserve"> General Comment No. 2, paragraph 37.</w:t>
      </w:r>
    </w:p>
  </w:footnote>
  <w:footnote w:id="61">
    <w:p w:rsidR="001250C7" w:rsidRPr="005944B6" w:rsidRDefault="001250C7" w:rsidP="001250C7">
      <w:pPr>
        <w:pStyle w:val="aa"/>
      </w:pPr>
      <w:r w:rsidRPr="005944B6">
        <w:rPr>
          <w:rStyle w:val="ac"/>
          <w:rFonts w:cs="Arial"/>
          <w:szCs w:val="18"/>
        </w:rPr>
        <w:footnoteRef/>
      </w:r>
      <w:r w:rsidRPr="005944B6">
        <w:t xml:space="preserve"> General Comment No. 2, paragraph 47.</w:t>
      </w:r>
    </w:p>
  </w:footnote>
  <w:footnote w:id="62">
    <w:p w:rsidR="001250C7" w:rsidRPr="005944B6" w:rsidRDefault="001250C7" w:rsidP="001250C7">
      <w:pPr>
        <w:pStyle w:val="aa"/>
      </w:pPr>
      <w:r w:rsidRPr="005944B6">
        <w:rPr>
          <w:rStyle w:val="ac"/>
          <w:rFonts w:cs="Arial"/>
          <w:szCs w:val="18"/>
        </w:rPr>
        <w:footnoteRef/>
      </w:r>
      <w:r w:rsidRPr="005944B6">
        <w:t xml:space="preserve"> General Comment No. 4, paragraph 43.</w:t>
      </w:r>
    </w:p>
  </w:footnote>
  <w:footnote w:id="63">
    <w:p w:rsidR="001250C7" w:rsidRPr="005944B6" w:rsidRDefault="001250C7" w:rsidP="001250C7">
      <w:pPr>
        <w:pStyle w:val="aa"/>
      </w:pPr>
      <w:r w:rsidRPr="005944B6">
        <w:rPr>
          <w:rStyle w:val="ac"/>
          <w:rFonts w:cs="Arial"/>
          <w:szCs w:val="18"/>
        </w:rPr>
        <w:footnoteRef/>
      </w:r>
      <w:r w:rsidRPr="005944B6">
        <w:t xml:space="preserve"> General Comment No. 6, paragraph 72.</w:t>
      </w:r>
    </w:p>
  </w:footnote>
  <w:footnote w:id="64">
    <w:p w:rsidR="005017C2" w:rsidRPr="005944B6" w:rsidRDefault="005017C2" w:rsidP="005017C2">
      <w:pPr>
        <w:pStyle w:val="aa"/>
      </w:pPr>
      <w:r w:rsidRPr="005944B6">
        <w:rPr>
          <w:rStyle w:val="ac"/>
          <w:rFonts w:cs="Arial"/>
          <w:szCs w:val="18"/>
        </w:rPr>
        <w:footnoteRef/>
      </w:r>
      <w:r w:rsidRPr="005944B6">
        <w:t xml:space="preserve"> General Comment No. 2, paragraph 47.</w:t>
      </w:r>
    </w:p>
  </w:footnote>
  <w:footnote w:id="65">
    <w:p w:rsidR="005017C2" w:rsidRPr="005944B6" w:rsidRDefault="005017C2" w:rsidP="005017C2">
      <w:pPr>
        <w:pStyle w:val="aa"/>
      </w:pPr>
      <w:r w:rsidRPr="005944B6">
        <w:rPr>
          <w:rStyle w:val="ac"/>
          <w:rFonts w:cs="Arial"/>
          <w:szCs w:val="18"/>
        </w:rPr>
        <w:footnoteRef/>
      </w:r>
      <w:r w:rsidRPr="005944B6">
        <w:t xml:space="preserve"> General Comment No. 5, paragraph 65.</w:t>
      </w:r>
    </w:p>
  </w:footnote>
  <w:footnote w:id="66">
    <w:p w:rsidR="005017C2" w:rsidRPr="005944B6" w:rsidRDefault="005017C2" w:rsidP="005017C2">
      <w:pPr>
        <w:pStyle w:val="aa"/>
      </w:pPr>
      <w:r w:rsidRPr="005944B6">
        <w:rPr>
          <w:rStyle w:val="ac"/>
          <w:rFonts w:cs="Arial"/>
          <w:szCs w:val="18"/>
        </w:rPr>
        <w:footnoteRef/>
      </w:r>
      <w:r w:rsidRPr="005944B6">
        <w:t xml:space="preserve"> General Comment No. 5, paragraph 65.</w:t>
      </w:r>
    </w:p>
  </w:footnote>
  <w:footnote w:id="67">
    <w:p w:rsidR="005017C2" w:rsidRPr="005944B6" w:rsidRDefault="005017C2" w:rsidP="005017C2">
      <w:pPr>
        <w:pStyle w:val="aa"/>
      </w:pPr>
      <w:r w:rsidRPr="005944B6">
        <w:rPr>
          <w:rStyle w:val="ac"/>
          <w:rFonts w:cs="Arial"/>
          <w:szCs w:val="18"/>
        </w:rPr>
        <w:footnoteRef/>
      </w:r>
      <w:r w:rsidRPr="005944B6">
        <w:t xml:space="preserve"> General Comment No. 5, paragraph 96.</w:t>
      </w:r>
    </w:p>
  </w:footnote>
  <w:footnote w:id="68">
    <w:p w:rsidR="005017C2" w:rsidRPr="005944B6" w:rsidRDefault="005017C2" w:rsidP="005017C2">
      <w:pPr>
        <w:pStyle w:val="aa"/>
      </w:pPr>
      <w:r w:rsidRPr="005944B6">
        <w:rPr>
          <w:rStyle w:val="ac"/>
          <w:rFonts w:cs="Arial"/>
          <w:szCs w:val="18"/>
        </w:rPr>
        <w:footnoteRef/>
      </w:r>
      <w:r w:rsidRPr="005944B6">
        <w:t xml:space="preserve"> The first statement of the Committee (A/66/55, Annex IX) refers twice to the importance of involving organizations of persons with disabilities, see preamble and paragraph 4. </w:t>
      </w:r>
    </w:p>
  </w:footnote>
  <w:footnote w:id="69">
    <w:p w:rsidR="005017C2" w:rsidRPr="005944B6" w:rsidRDefault="005017C2" w:rsidP="005017C2">
      <w:pPr>
        <w:pStyle w:val="aa"/>
      </w:pPr>
      <w:r w:rsidRPr="005944B6">
        <w:rPr>
          <w:rStyle w:val="ac"/>
          <w:rFonts w:cs="Arial"/>
          <w:szCs w:val="18"/>
        </w:rPr>
        <w:footnoteRef/>
      </w:r>
      <w:r w:rsidRPr="005944B6">
        <w:t xml:space="preserve"> Guidelines on the participation of disabled persons’ organizations and civil society organizations in the work of the Committee (CRPD/C/11/2, annex II), paragraph 3. </w:t>
      </w:r>
    </w:p>
  </w:footnote>
  <w:footnote w:id="70">
    <w:p w:rsidR="005017C2" w:rsidRPr="005944B6" w:rsidRDefault="005017C2" w:rsidP="005017C2">
      <w:pPr>
        <w:pStyle w:val="Web"/>
        <w:spacing w:before="0" w:beforeAutospacing="0" w:after="0" w:afterAutospacing="0"/>
        <w:rPr>
          <w:rFonts w:ascii="Arial" w:hAnsi="Arial" w:cs="Arial"/>
          <w:b/>
          <w:bCs/>
          <w:iCs/>
          <w:sz w:val="18"/>
          <w:szCs w:val="18"/>
        </w:rPr>
      </w:pPr>
      <w:r w:rsidRPr="005944B6">
        <w:rPr>
          <w:rStyle w:val="ac"/>
          <w:rFonts w:ascii="Arial" w:hAnsi="Arial" w:cs="Arial"/>
          <w:sz w:val="18"/>
          <w:szCs w:val="18"/>
        </w:rPr>
        <w:footnoteRef/>
      </w:r>
      <w:r w:rsidRPr="005944B6">
        <w:rPr>
          <w:rFonts w:ascii="Arial" w:hAnsi="Arial" w:cs="Arial"/>
          <w:sz w:val="18"/>
          <w:szCs w:val="18"/>
        </w:rPr>
        <w:t xml:space="preserve"> General Comment No. 5, paragraph 56; see also Guidelines on periodic reporting (</w:t>
      </w:r>
      <w:r w:rsidRPr="005944B6">
        <w:rPr>
          <w:rFonts w:ascii="Arial" w:hAnsi="Arial" w:cs="Arial"/>
          <w:sz w:val="18"/>
          <w:szCs w:val="18"/>
          <w:lang w:val="en-GB"/>
        </w:rPr>
        <w:t>CRPD/C/3)</w:t>
      </w:r>
      <w:r w:rsidRPr="005944B6">
        <w:rPr>
          <w:rFonts w:ascii="Arial" w:hAnsi="Arial" w:cs="Arial"/>
          <w:sz w:val="18"/>
          <w:szCs w:val="18"/>
        </w:rPr>
        <w:t>, par</w:t>
      </w:r>
      <w:r>
        <w:rPr>
          <w:rFonts w:ascii="Arial" w:hAnsi="Arial" w:cs="Arial"/>
          <w:sz w:val="18"/>
          <w:szCs w:val="18"/>
        </w:rPr>
        <w:t>agraph 7, which require States P</w:t>
      </w:r>
      <w:r w:rsidRPr="005944B6">
        <w:rPr>
          <w:rFonts w:ascii="Arial" w:hAnsi="Arial" w:cs="Arial"/>
          <w:sz w:val="18"/>
          <w:szCs w:val="18"/>
        </w:rPr>
        <w:t xml:space="preserve">arties </w:t>
      </w:r>
      <w:r w:rsidRPr="005944B6">
        <w:rPr>
          <w:rFonts w:ascii="Arial" w:hAnsi="Arial" w:cs="Arial"/>
          <w:bCs/>
          <w:iCs/>
          <w:sz w:val="18"/>
          <w:szCs w:val="18"/>
        </w:rPr>
        <w:t>to report on the degree of involvement and the diversity of persons with disability involved.</w:t>
      </w:r>
    </w:p>
  </w:footnote>
  <w:footnote w:id="71">
    <w:p w:rsidR="005017C2" w:rsidRPr="005944B6" w:rsidRDefault="005017C2" w:rsidP="005017C2">
      <w:pPr>
        <w:pStyle w:val="aa"/>
      </w:pPr>
      <w:r w:rsidRPr="005944B6">
        <w:rPr>
          <w:rStyle w:val="ac"/>
          <w:rFonts w:cs="Arial"/>
          <w:szCs w:val="18"/>
        </w:rPr>
        <w:footnoteRef/>
      </w:r>
      <w:r w:rsidRPr="005944B6">
        <w:t xml:space="preserve"> General Comment No. 3, paragraph 23.</w:t>
      </w:r>
    </w:p>
  </w:footnote>
  <w:footnote w:id="72">
    <w:p w:rsidR="005017C2" w:rsidRPr="005944B6" w:rsidRDefault="005017C2" w:rsidP="005017C2">
      <w:pPr>
        <w:pStyle w:val="aa"/>
      </w:pPr>
      <w:r w:rsidRPr="005944B6">
        <w:rPr>
          <w:rStyle w:val="ac"/>
          <w:rFonts w:cs="Arial"/>
          <w:szCs w:val="18"/>
        </w:rPr>
        <w:footnoteRef/>
      </w:r>
      <w:r w:rsidRPr="005944B6">
        <w:t xml:space="preserve"> General Comment No. 5, paragraph 70. </w:t>
      </w:r>
    </w:p>
  </w:footnote>
  <w:footnote w:id="73">
    <w:p w:rsidR="005017C2" w:rsidRPr="005944B6" w:rsidRDefault="005017C2" w:rsidP="005017C2">
      <w:pPr>
        <w:pStyle w:val="aa"/>
      </w:pPr>
      <w:r w:rsidRPr="005944B6">
        <w:rPr>
          <w:rStyle w:val="ac"/>
          <w:rFonts w:cs="Arial"/>
          <w:szCs w:val="18"/>
        </w:rPr>
        <w:footnoteRef/>
      </w:r>
      <w:r w:rsidRPr="005944B6">
        <w:t xml:space="preserve"> General Comment No. 6, paragraph 33.</w:t>
      </w:r>
    </w:p>
  </w:footnote>
  <w:footnote w:id="74">
    <w:p w:rsidR="005017C2" w:rsidRPr="005944B6" w:rsidRDefault="005017C2" w:rsidP="005017C2">
      <w:pPr>
        <w:pStyle w:val="aa"/>
      </w:pPr>
      <w:r w:rsidRPr="005944B6">
        <w:rPr>
          <w:rStyle w:val="ac"/>
          <w:rFonts w:cs="Arial"/>
          <w:szCs w:val="18"/>
        </w:rPr>
        <w:footnoteRef/>
      </w:r>
      <w:r w:rsidRPr="005944B6">
        <w:t xml:space="preserve"> See for instance General Comment No.1, paragraph 50 (c). </w:t>
      </w:r>
    </w:p>
  </w:footnote>
  <w:footnote w:id="75">
    <w:p w:rsidR="005017C2" w:rsidRPr="005944B6" w:rsidRDefault="005017C2" w:rsidP="005017C2">
      <w:pPr>
        <w:pStyle w:val="aa"/>
      </w:pPr>
      <w:r w:rsidRPr="005944B6">
        <w:rPr>
          <w:rStyle w:val="ac"/>
          <w:rFonts w:cs="Arial"/>
          <w:szCs w:val="18"/>
        </w:rPr>
        <w:footnoteRef/>
      </w:r>
      <w:r w:rsidRPr="005944B6">
        <w:t xml:space="preserve"> General Comment No. 2, paragraph 25. </w:t>
      </w:r>
    </w:p>
  </w:footnote>
  <w:footnote w:id="76">
    <w:p w:rsidR="005017C2" w:rsidRPr="005944B6" w:rsidRDefault="005017C2" w:rsidP="005017C2">
      <w:pPr>
        <w:pStyle w:val="aa"/>
      </w:pPr>
      <w:r w:rsidRPr="005944B6">
        <w:rPr>
          <w:rStyle w:val="ac"/>
          <w:rFonts w:cs="Arial"/>
          <w:szCs w:val="18"/>
        </w:rPr>
        <w:footnoteRef/>
      </w:r>
      <w:r w:rsidRPr="005944B6">
        <w:t xml:space="preserve"> General Comment No. 2, paragraph 47.</w:t>
      </w:r>
    </w:p>
  </w:footnote>
  <w:footnote w:id="77">
    <w:p w:rsidR="005017C2" w:rsidRPr="005944B6" w:rsidRDefault="005017C2" w:rsidP="005017C2">
      <w:pPr>
        <w:pStyle w:val="aa"/>
      </w:pPr>
      <w:r w:rsidRPr="005944B6">
        <w:rPr>
          <w:rStyle w:val="ac"/>
          <w:rFonts w:cs="Arial"/>
          <w:szCs w:val="18"/>
        </w:rPr>
        <w:footnoteRef/>
      </w:r>
      <w:r w:rsidRPr="005944B6">
        <w:t xml:space="preserve"> General Comment No. 6, paragraph 73(j).</w:t>
      </w:r>
    </w:p>
  </w:footnote>
  <w:footnote w:id="78">
    <w:p w:rsidR="005017C2" w:rsidRPr="005944B6" w:rsidRDefault="005017C2" w:rsidP="005017C2">
      <w:pPr>
        <w:pStyle w:val="aa"/>
      </w:pPr>
      <w:r w:rsidRPr="005944B6">
        <w:rPr>
          <w:rStyle w:val="ac"/>
          <w:rFonts w:cs="Arial"/>
          <w:szCs w:val="18"/>
        </w:rPr>
        <w:footnoteRef/>
      </w:r>
      <w:r w:rsidRPr="005944B6">
        <w:t xml:space="preserve"> General Comment No. 6, paragraph 29. </w:t>
      </w:r>
    </w:p>
  </w:footnote>
  <w:footnote w:id="79">
    <w:p w:rsidR="005017C2" w:rsidRPr="005944B6" w:rsidRDefault="005017C2" w:rsidP="005017C2">
      <w:pPr>
        <w:pStyle w:val="aa"/>
      </w:pPr>
      <w:r w:rsidRPr="005944B6">
        <w:rPr>
          <w:rStyle w:val="ac"/>
          <w:rFonts w:cs="Arial"/>
          <w:szCs w:val="18"/>
        </w:rPr>
        <w:footnoteRef/>
      </w:r>
      <w:r w:rsidRPr="005944B6">
        <w:t xml:space="preserve"> General Comment No. 5, paragraph 97.</w:t>
      </w:r>
    </w:p>
  </w:footnote>
  <w:footnote w:id="80">
    <w:p w:rsidR="005017C2" w:rsidRPr="005944B6" w:rsidRDefault="005017C2" w:rsidP="005017C2">
      <w:pPr>
        <w:pStyle w:val="aa"/>
      </w:pPr>
      <w:r w:rsidRPr="005944B6">
        <w:rPr>
          <w:rStyle w:val="ac"/>
          <w:rFonts w:cs="Arial"/>
          <w:szCs w:val="18"/>
        </w:rPr>
        <w:footnoteRef/>
      </w:r>
      <w:r w:rsidRPr="005944B6">
        <w:t xml:space="preserve"> General Comment No. 5, paragraph 42. </w:t>
      </w:r>
    </w:p>
  </w:footnote>
  <w:footnote w:id="81">
    <w:p w:rsidR="005017C2" w:rsidRPr="005944B6" w:rsidRDefault="005017C2" w:rsidP="005017C2">
      <w:pPr>
        <w:pStyle w:val="aa"/>
      </w:pPr>
      <w:r w:rsidRPr="005944B6">
        <w:rPr>
          <w:rStyle w:val="ac"/>
          <w:rFonts w:cs="Arial"/>
          <w:szCs w:val="18"/>
        </w:rPr>
        <w:footnoteRef/>
      </w:r>
      <w:r w:rsidRPr="005944B6">
        <w:t xml:space="preserve"> General Comment No. 5, paragraph 56.</w:t>
      </w:r>
    </w:p>
  </w:footnote>
  <w:footnote w:id="82">
    <w:p w:rsidR="005017C2" w:rsidRPr="005944B6" w:rsidRDefault="005017C2" w:rsidP="005017C2">
      <w:pPr>
        <w:pStyle w:val="aa"/>
      </w:pPr>
      <w:r w:rsidRPr="005944B6">
        <w:rPr>
          <w:rStyle w:val="ac"/>
          <w:rFonts w:cs="Arial"/>
          <w:szCs w:val="18"/>
        </w:rPr>
        <w:footnoteRef/>
      </w:r>
      <w:r w:rsidRPr="005944B6">
        <w:t xml:space="preserve"> General Comment No. 6, paragraph 46.</w:t>
      </w:r>
    </w:p>
  </w:footnote>
  <w:footnote w:id="83">
    <w:p w:rsidR="005017C2" w:rsidRPr="005944B6" w:rsidRDefault="005017C2" w:rsidP="005017C2">
      <w:pPr>
        <w:pStyle w:val="aa"/>
      </w:pPr>
      <w:r w:rsidRPr="005944B6">
        <w:rPr>
          <w:rStyle w:val="ac"/>
          <w:rFonts w:cs="Arial"/>
          <w:szCs w:val="18"/>
        </w:rPr>
        <w:footnoteRef/>
      </w:r>
      <w:r w:rsidRPr="005944B6">
        <w:t xml:space="preserve"> General Comment No. 2, paragraph 30; General Comment No. 5, paragraph 77. </w:t>
      </w:r>
    </w:p>
  </w:footnote>
  <w:footnote w:id="84">
    <w:p w:rsidR="005017C2" w:rsidRPr="005944B6" w:rsidRDefault="005017C2" w:rsidP="005017C2">
      <w:pPr>
        <w:pStyle w:val="aa"/>
      </w:pPr>
      <w:r w:rsidRPr="005944B6">
        <w:rPr>
          <w:rStyle w:val="ac"/>
          <w:rFonts w:cs="Arial"/>
          <w:szCs w:val="18"/>
        </w:rPr>
        <w:footnoteRef/>
      </w:r>
      <w:r w:rsidRPr="005944B6">
        <w:t xml:space="preserve"> General Comment No. 6, paragraph 73(f). </w:t>
      </w:r>
    </w:p>
  </w:footnote>
  <w:footnote w:id="85">
    <w:p w:rsidR="007A2B8B" w:rsidRPr="005944B6" w:rsidRDefault="007A2B8B" w:rsidP="007A2B8B">
      <w:pPr>
        <w:pStyle w:val="aa"/>
      </w:pPr>
      <w:r w:rsidRPr="005944B6">
        <w:rPr>
          <w:rStyle w:val="ac"/>
          <w:rFonts w:cs="Arial"/>
          <w:szCs w:val="18"/>
        </w:rPr>
        <w:footnoteRef/>
      </w:r>
      <w:r w:rsidRPr="005944B6">
        <w:t xml:space="preserve"> General Comment No. 6, paragraph 71.</w:t>
      </w:r>
    </w:p>
  </w:footnote>
  <w:footnote w:id="86">
    <w:p w:rsidR="007A2B8B" w:rsidRPr="005944B6" w:rsidRDefault="007A2B8B" w:rsidP="007A2B8B">
      <w:pPr>
        <w:pStyle w:val="aa"/>
      </w:pPr>
      <w:r w:rsidRPr="005944B6">
        <w:rPr>
          <w:rStyle w:val="ac"/>
          <w:rFonts w:cs="Arial"/>
          <w:szCs w:val="18"/>
        </w:rPr>
        <w:footnoteRef/>
      </w:r>
      <w:r w:rsidRPr="005944B6">
        <w:t xml:space="preserve"> General Comment No. 4, paragraph 12. </w:t>
      </w:r>
    </w:p>
  </w:footnote>
  <w:footnote w:id="87">
    <w:p w:rsidR="007A2B8B" w:rsidRPr="005944B6" w:rsidRDefault="007A2B8B" w:rsidP="007A2B8B">
      <w:pPr>
        <w:pStyle w:val="aa"/>
      </w:pPr>
      <w:r w:rsidRPr="005944B6">
        <w:rPr>
          <w:rStyle w:val="ac"/>
          <w:rFonts w:cs="Arial"/>
          <w:szCs w:val="18"/>
        </w:rPr>
        <w:footnoteRef/>
      </w:r>
      <w:r w:rsidRPr="005944B6">
        <w:t xml:space="preserve"> General Comment No. 6, paragraph 70(d). </w:t>
      </w:r>
    </w:p>
  </w:footnote>
  <w:footnote w:id="88">
    <w:p w:rsidR="007A2B8B" w:rsidRPr="005944B6" w:rsidRDefault="007A2B8B" w:rsidP="007A2B8B">
      <w:pPr>
        <w:pStyle w:val="aa"/>
      </w:pPr>
      <w:r w:rsidRPr="005944B6">
        <w:rPr>
          <w:rStyle w:val="ac"/>
          <w:rFonts w:cs="Arial"/>
          <w:szCs w:val="18"/>
        </w:rPr>
        <w:footnoteRef/>
      </w:r>
      <w:r w:rsidRPr="005944B6">
        <w:t xml:space="preserve"> Concluding observations on Slovenia (CRPD/C/SVN/CO/1), paragraph 5(c). </w:t>
      </w:r>
    </w:p>
  </w:footnote>
  <w:footnote w:id="89">
    <w:p w:rsidR="007A2B8B" w:rsidRPr="005944B6" w:rsidRDefault="007A2B8B" w:rsidP="007A2B8B">
      <w:pPr>
        <w:pStyle w:val="aa"/>
      </w:pPr>
      <w:r w:rsidRPr="005944B6">
        <w:rPr>
          <w:rStyle w:val="ac"/>
          <w:rFonts w:cs="Arial"/>
          <w:szCs w:val="18"/>
        </w:rPr>
        <w:footnoteRef/>
      </w:r>
      <w:r w:rsidRPr="005944B6">
        <w:t xml:space="preserve"> Concluding observations on Hungary (CRPD/C/HUN/CO/1), paragraph 14. </w:t>
      </w:r>
    </w:p>
  </w:footnote>
  <w:footnote w:id="90">
    <w:p w:rsidR="007A2B8B" w:rsidRPr="005944B6" w:rsidRDefault="007A2B8B" w:rsidP="007A2B8B">
      <w:pPr>
        <w:pStyle w:val="aa"/>
      </w:pPr>
      <w:r w:rsidRPr="005944B6">
        <w:rPr>
          <w:rStyle w:val="ac"/>
          <w:rFonts w:cs="Arial"/>
          <w:szCs w:val="18"/>
        </w:rPr>
        <w:footnoteRef/>
      </w:r>
      <w:r w:rsidRPr="005944B6">
        <w:t xml:space="preserve"> Concluding observations on Nepal (CRPD/C/NPL/CO/1), paragraph 50; Concluding observations on the Federation of Russia (CRPD/C/RUS/CO/1), paragraph 67; Concluding observations on the Republic of Moldova (CRPD/C/MDA/CO/1), paragraph 59. </w:t>
      </w:r>
    </w:p>
  </w:footnote>
  <w:footnote w:id="91">
    <w:p w:rsidR="007A2B8B" w:rsidRPr="005944B6" w:rsidRDefault="007A2B8B" w:rsidP="007A2B8B">
      <w:pPr>
        <w:pStyle w:val="aa"/>
      </w:pPr>
      <w:r w:rsidRPr="005944B6">
        <w:rPr>
          <w:rStyle w:val="ac"/>
          <w:rFonts w:cs="Arial"/>
          <w:szCs w:val="18"/>
        </w:rPr>
        <w:footnoteRef/>
      </w:r>
      <w:r w:rsidRPr="005944B6">
        <w:t xml:space="preserve"> Concluding observations on the Federation of Russia (CRPD/C/RUS/CO/1), paragraph 12. </w:t>
      </w:r>
    </w:p>
  </w:footnote>
  <w:footnote w:id="92">
    <w:p w:rsidR="007A2B8B" w:rsidRPr="005944B6" w:rsidRDefault="007A2B8B" w:rsidP="007A2B8B">
      <w:pPr>
        <w:pStyle w:val="aa"/>
      </w:pPr>
      <w:r w:rsidRPr="005944B6">
        <w:rPr>
          <w:rStyle w:val="ac"/>
          <w:rFonts w:cs="Arial"/>
          <w:szCs w:val="18"/>
        </w:rPr>
        <w:footnoteRef/>
      </w:r>
      <w:r w:rsidRPr="005944B6">
        <w:t xml:space="preserve"> Concluding observations on Latvia (CRPD/C/LVA/CO/1), paragraph 7(e). </w:t>
      </w:r>
    </w:p>
  </w:footnote>
  <w:footnote w:id="93">
    <w:p w:rsidR="007A2B8B" w:rsidRPr="005944B6" w:rsidRDefault="007A2B8B" w:rsidP="007A2B8B">
      <w:pPr>
        <w:pStyle w:val="aa"/>
      </w:pPr>
      <w:r w:rsidRPr="005944B6">
        <w:rPr>
          <w:rStyle w:val="ac"/>
          <w:rFonts w:cs="Arial"/>
          <w:szCs w:val="18"/>
        </w:rPr>
        <w:footnoteRef/>
      </w:r>
      <w:r w:rsidRPr="005944B6">
        <w:t xml:space="preserve"> Concluding observations on Slovenia (CRPD/C/SVN/CO/1), paragraph 5(c); Concluding observations on New Zealand (CRPD/C/NZL/CO/1), paragraphs 71-72. </w:t>
      </w:r>
    </w:p>
  </w:footnote>
  <w:footnote w:id="94">
    <w:p w:rsidR="007A2B8B" w:rsidRPr="005944B6" w:rsidRDefault="007A2B8B" w:rsidP="007A2B8B">
      <w:pPr>
        <w:pStyle w:val="aa"/>
      </w:pPr>
      <w:r w:rsidRPr="005944B6">
        <w:rPr>
          <w:rStyle w:val="ac"/>
          <w:rFonts w:cs="Arial"/>
          <w:szCs w:val="18"/>
        </w:rPr>
        <w:footnoteRef/>
      </w:r>
      <w:r w:rsidRPr="005944B6">
        <w:t xml:space="preserve"> Concluding observations on Cyprus (CRPD/C/CYP/CO/1), paragraph 8; Concluding observations on Bosnia and Herzegovina (CRPD/C/BIH/CO/1), paragraph 6; Concluding observations on Turkmenistan (CRPD/C/TKM/CO/1), paragraph 12. </w:t>
      </w:r>
    </w:p>
  </w:footnote>
  <w:footnote w:id="95">
    <w:p w:rsidR="007A2B8B" w:rsidRPr="005944B6" w:rsidRDefault="007A2B8B" w:rsidP="007A2B8B">
      <w:pPr>
        <w:pStyle w:val="aa"/>
      </w:pPr>
      <w:r w:rsidRPr="005944B6">
        <w:rPr>
          <w:rStyle w:val="ac"/>
          <w:rFonts w:cs="Arial"/>
          <w:szCs w:val="18"/>
        </w:rPr>
        <w:footnoteRef/>
      </w:r>
      <w:r w:rsidRPr="005944B6">
        <w:t xml:space="preserve"> Guidelines on the participation of disabled persons’ organizations and civil society organizations in the work of the Committee, paragraph 33. </w:t>
      </w:r>
    </w:p>
  </w:footnote>
  <w:footnote w:id="96">
    <w:p w:rsidR="007A2B8B" w:rsidRPr="005944B6" w:rsidRDefault="007A2B8B" w:rsidP="007A2B8B">
      <w:pPr>
        <w:pStyle w:val="aa"/>
        <w:rPr>
          <w:color w:val="000000"/>
        </w:rPr>
      </w:pPr>
      <w:r w:rsidRPr="005944B6">
        <w:rPr>
          <w:rStyle w:val="ac"/>
          <w:rFonts w:cs="Arial"/>
          <w:szCs w:val="18"/>
        </w:rPr>
        <w:footnoteRef/>
      </w:r>
      <w:r w:rsidRPr="005944B6">
        <w:t xml:space="preserve"> Equality and equal treatment are mentioned in the preamble of the Convention and under articles 1, 3, 5, 6, 7, 9, 10, 12, 13, 14, 15, 17, 18, 19, 21, 22, 23, 24, 27, 28, 29 and 30. Non-discrimination and reasonable accommodation are mentioned in the preamble of the Convention and under articles 2, 3, 4, 5, 6, 14, 23, 24, 25, 27, 28 and 29. </w:t>
      </w:r>
    </w:p>
  </w:footnote>
  <w:footnote w:id="97">
    <w:p w:rsidR="007A2B8B" w:rsidRPr="005944B6" w:rsidRDefault="007A2B8B" w:rsidP="007A2B8B">
      <w:pPr>
        <w:pStyle w:val="aa"/>
      </w:pPr>
      <w:r w:rsidRPr="005944B6">
        <w:rPr>
          <w:rStyle w:val="ac"/>
          <w:rFonts w:cs="Arial"/>
          <w:szCs w:val="18"/>
        </w:rPr>
        <w:footnoteRef/>
      </w:r>
      <w:r w:rsidRPr="005944B6">
        <w:t xml:space="preserve"> General Comment No. 6, paragraph 12. </w:t>
      </w:r>
    </w:p>
  </w:footnote>
  <w:footnote w:id="98">
    <w:p w:rsidR="007A2B8B" w:rsidRPr="005944B6" w:rsidRDefault="007A2B8B" w:rsidP="007A2B8B">
      <w:pPr>
        <w:pStyle w:val="aa"/>
      </w:pPr>
      <w:r w:rsidRPr="005944B6">
        <w:rPr>
          <w:rStyle w:val="ac"/>
          <w:rFonts w:cs="Arial"/>
          <w:szCs w:val="18"/>
        </w:rPr>
        <w:footnoteRef/>
      </w:r>
      <w:r w:rsidRPr="005944B6">
        <w:t xml:space="preserve"> General Comment No. 6, paragraph 12.</w:t>
      </w:r>
    </w:p>
  </w:footnote>
  <w:footnote w:id="99">
    <w:p w:rsidR="007A2B8B" w:rsidRPr="005944B6" w:rsidRDefault="007A2B8B" w:rsidP="007A2B8B">
      <w:pPr>
        <w:pStyle w:val="aa"/>
      </w:pPr>
      <w:r w:rsidRPr="005944B6">
        <w:rPr>
          <w:rStyle w:val="ac"/>
          <w:rFonts w:cs="Arial"/>
          <w:szCs w:val="18"/>
        </w:rPr>
        <w:footnoteRef/>
      </w:r>
      <w:r w:rsidRPr="005944B6">
        <w:t xml:space="preserve"> General Comment No. 6, paragraph 11. </w:t>
      </w:r>
    </w:p>
  </w:footnote>
  <w:footnote w:id="100">
    <w:p w:rsidR="007A2B8B" w:rsidRPr="005944B6" w:rsidRDefault="007A2B8B" w:rsidP="007A2B8B">
      <w:pPr>
        <w:pStyle w:val="aa"/>
      </w:pPr>
      <w:r w:rsidRPr="005944B6">
        <w:rPr>
          <w:rStyle w:val="ac"/>
          <w:rFonts w:cs="Arial"/>
          <w:szCs w:val="18"/>
        </w:rPr>
        <w:footnoteRef/>
      </w:r>
      <w:r w:rsidRPr="005944B6">
        <w:t xml:space="preserve"> See General Comment No. 3, paragraph 17. </w:t>
      </w:r>
    </w:p>
  </w:footnote>
  <w:footnote w:id="101">
    <w:p w:rsidR="007A2B8B" w:rsidRPr="005944B6" w:rsidRDefault="007A2B8B" w:rsidP="007A2B8B">
      <w:pPr>
        <w:pStyle w:val="aa"/>
      </w:pPr>
      <w:r w:rsidRPr="005944B6">
        <w:rPr>
          <w:rStyle w:val="ac"/>
          <w:rFonts w:cs="Arial"/>
          <w:szCs w:val="18"/>
        </w:rPr>
        <w:footnoteRef/>
      </w:r>
      <w:r w:rsidRPr="005944B6">
        <w:t xml:space="preserve"> General Comment No. 6, paragraph 18. </w:t>
      </w:r>
    </w:p>
  </w:footnote>
  <w:footnote w:id="102">
    <w:p w:rsidR="007A2B8B" w:rsidRPr="005944B6" w:rsidRDefault="007A2B8B" w:rsidP="007A2B8B">
      <w:pPr>
        <w:pStyle w:val="aa"/>
      </w:pPr>
      <w:r w:rsidRPr="005944B6">
        <w:rPr>
          <w:rStyle w:val="ac"/>
          <w:rFonts w:cs="Arial"/>
          <w:szCs w:val="18"/>
        </w:rPr>
        <w:footnoteRef/>
      </w:r>
      <w:r w:rsidRPr="005944B6">
        <w:t xml:space="preserve"> General Comment No. 3, paragraph 17(c).</w:t>
      </w:r>
    </w:p>
  </w:footnote>
  <w:footnote w:id="103">
    <w:p w:rsidR="007A2B8B" w:rsidRPr="005944B6" w:rsidRDefault="007A2B8B" w:rsidP="007A2B8B">
      <w:pPr>
        <w:pStyle w:val="aa"/>
      </w:pPr>
      <w:r w:rsidRPr="005944B6">
        <w:rPr>
          <w:rStyle w:val="ac"/>
          <w:rFonts w:cs="Arial"/>
          <w:szCs w:val="18"/>
        </w:rPr>
        <w:footnoteRef/>
      </w:r>
      <w:r w:rsidRPr="005944B6">
        <w:t xml:space="preserve"> General Comment No. 6, paragraph 18(c).</w:t>
      </w:r>
    </w:p>
  </w:footnote>
  <w:footnote w:id="104">
    <w:p w:rsidR="007A2B8B" w:rsidRPr="005944B6" w:rsidRDefault="007A2B8B" w:rsidP="007A2B8B">
      <w:pPr>
        <w:pStyle w:val="aa"/>
      </w:pPr>
      <w:r w:rsidRPr="005944B6">
        <w:rPr>
          <w:rStyle w:val="ac"/>
          <w:rFonts w:cs="Arial"/>
          <w:szCs w:val="18"/>
        </w:rPr>
        <w:footnoteRef/>
      </w:r>
      <w:r w:rsidRPr="005944B6">
        <w:t xml:space="preserve"> General Comment No. 3, paragraph 17(e).</w:t>
      </w:r>
    </w:p>
  </w:footnote>
  <w:footnote w:id="105">
    <w:p w:rsidR="007A2B8B" w:rsidRPr="005944B6" w:rsidRDefault="007A2B8B" w:rsidP="007A2B8B">
      <w:pPr>
        <w:pStyle w:val="aa"/>
      </w:pPr>
      <w:r w:rsidRPr="005944B6">
        <w:rPr>
          <w:rStyle w:val="ac"/>
          <w:rFonts w:cs="Arial"/>
          <w:szCs w:val="18"/>
        </w:rPr>
        <w:footnoteRef/>
      </w:r>
      <w:r w:rsidRPr="005944B6">
        <w:t xml:space="preserve"> General Comment No. 6, paragraph 18(d). </w:t>
      </w:r>
    </w:p>
  </w:footnote>
  <w:footnote w:id="106">
    <w:p w:rsidR="007A2B8B" w:rsidRPr="005944B6" w:rsidRDefault="007A2B8B" w:rsidP="007A2B8B">
      <w:pPr>
        <w:pStyle w:val="aa"/>
      </w:pPr>
      <w:r w:rsidRPr="005944B6">
        <w:rPr>
          <w:rStyle w:val="ac"/>
          <w:rFonts w:cs="Arial"/>
          <w:szCs w:val="18"/>
        </w:rPr>
        <w:footnoteRef/>
      </w:r>
      <w:r w:rsidRPr="005944B6">
        <w:t xml:space="preserve"> General Comment No. 6, paragraph 19.</w:t>
      </w:r>
    </w:p>
  </w:footnote>
  <w:footnote w:id="107">
    <w:p w:rsidR="007A2B8B" w:rsidRPr="005944B6" w:rsidRDefault="007A2B8B" w:rsidP="007A2B8B">
      <w:pPr>
        <w:pStyle w:val="aa"/>
      </w:pPr>
      <w:r w:rsidRPr="005944B6">
        <w:rPr>
          <w:rStyle w:val="ac"/>
          <w:rFonts w:cs="Arial"/>
          <w:szCs w:val="18"/>
        </w:rPr>
        <w:footnoteRef/>
      </w:r>
      <w:r w:rsidRPr="005944B6">
        <w:t xml:space="preserve"> </w:t>
      </w:r>
      <w:r w:rsidRPr="005944B6">
        <w:rPr>
          <w:i/>
        </w:rPr>
        <w:t xml:space="preserve">H.M vs. Sweden </w:t>
      </w:r>
      <w:r>
        <w:t>(CRPD/C/7/D/3/2011),</w:t>
      </w:r>
      <w:r w:rsidRPr="005944B6">
        <w:t xml:space="preserve"> </w:t>
      </w:r>
      <w:r w:rsidRPr="005944B6">
        <w:rPr>
          <w:i/>
        </w:rPr>
        <w:t xml:space="preserve">Jungelin </w:t>
      </w:r>
      <w:r w:rsidRPr="005944B6">
        <w:t>v.</w:t>
      </w:r>
      <w:r w:rsidRPr="005944B6">
        <w:rPr>
          <w:i/>
        </w:rPr>
        <w:t xml:space="preserve"> Sweden</w:t>
      </w:r>
      <w:r w:rsidRPr="005944B6">
        <w:t xml:space="preserve"> (CRPD/C/12/D/5/2011)</w:t>
      </w:r>
      <w:r>
        <w:t>,</w:t>
      </w:r>
      <w:r w:rsidRPr="005944B6">
        <w:t xml:space="preserve"> </w:t>
      </w:r>
      <w:r w:rsidRPr="005944B6">
        <w:rPr>
          <w:i/>
          <w:iCs w:val="0"/>
        </w:rPr>
        <w:t xml:space="preserve">Beasley v. Australia </w:t>
      </w:r>
      <w:r w:rsidRPr="005944B6">
        <w:rPr>
          <w:iCs w:val="0"/>
        </w:rPr>
        <w:t>(CRPD/C/15/D/11/2013)</w:t>
      </w:r>
      <w:r>
        <w:rPr>
          <w:iCs w:val="0"/>
        </w:rPr>
        <w:t>,</w:t>
      </w:r>
      <w:r w:rsidRPr="005944B6">
        <w:rPr>
          <w:i/>
          <w:iCs w:val="0"/>
        </w:rPr>
        <w:t xml:space="preserve"> Lockrey v. Australia</w:t>
      </w:r>
      <w:r w:rsidRPr="005944B6">
        <w:rPr>
          <w:iCs w:val="0"/>
        </w:rPr>
        <w:t xml:space="preserve"> (CRPD/C/15/D/13/2013).</w:t>
      </w:r>
    </w:p>
  </w:footnote>
  <w:footnote w:id="108">
    <w:p w:rsidR="005C7580" w:rsidRPr="00375197" w:rsidRDefault="005C7580" w:rsidP="005C7580">
      <w:pPr>
        <w:pStyle w:val="aa"/>
        <w:rPr>
          <w:lang w:val="fr-FR"/>
        </w:rPr>
      </w:pPr>
      <w:r w:rsidRPr="005944B6">
        <w:rPr>
          <w:rStyle w:val="ac"/>
          <w:rFonts w:cs="Arial"/>
          <w:szCs w:val="18"/>
        </w:rPr>
        <w:footnoteRef/>
      </w:r>
      <w:r w:rsidRPr="00375197">
        <w:rPr>
          <w:lang w:val="fr-FR"/>
        </w:rPr>
        <w:t xml:space="preserve"> </w:t>
      </w:r>
      <w:r w:rsidRPr="00375197">
        <w:rPr>
          <w:i/>
          <w:iCs w:val="0"/>
          <w:lang w:val="fr-FR"/>
        </w:rPr>
        <w:t>F. v. Austria</w:t>
      </w:r>
      <w:r w:rsidRPr="00375197">
        <w:rPr>
          <w:iCs w:val="0"/>
          <w:lang w:val="fr-FR"/>
        </w:rPr>
        <w:t xml:space="preserve"> (CRPD/C/14/D/21/2014).</w:t>
      </w:r>
    </w:p>
  </w:footnote>
  <w:footnote w:id="109">
    <w:p w:rsidR="005C7580" w:rsidRPr="005944B6" w:rsidRDefault="005C7580" w:rsidP="005C7580">
      <w:pPr>
        <w:pStyle w:val="aa"/>
      </w:pPr>
      <w:r w:rsidRPr="005944B6">
        <w:rPr>
          <w:rStyle w:val="ac"/>
          <w:rFonts w:cs="Arial"/>
          <w:szCs w:val="18"/>
        </w:rPr>
        <w:footnoteRef/>
      </w:r>
      <w:r w:rsidRPr="005944B6">
        <w:t xml:space="preserve"> </w:t>
      </w:r>
      <w:r w:rsidRPr="005944B6">
        <w:rPr>
          <w:i/>
          <w:iCs w:val="0"/>
        </w:rPr>
        <w:t xml:space="preserve">Noble v. Australia </w:t>
      </w:r>
      <w:r w:rsidRPr="005944B6">
        <w:rPr>
          <w:iCs w:val="0"/>
        </w:rPr>
        <w:t>(CRPD/C/16/D/7/2012).</w:t>
      </w:r>
    </w:p>
  </w:footnote>
  <w:footnote w:id="110">
    <w:p w:rsidR="005C7580" w:rsidRPr="005944B6" w:rsidRDefault="005C7580" w:rsidP="005C7580">
      <w:pPr>
        <w:pStyle w:val="aa"/>
      </w:pPr>
      <w:r w:rsidRPr="005944B6">
        <w:rPr>
          <w:rStyle w:val="ac"/>
          <w:rFonts w:cs="Arial"/>
          <w:szCs w:val="18"/>
        </w:rPr>
        <w:footnoteRef/>
      </w:r>
      <w:r w:rsidRPr="005944B6">
        <w:t xml:space="preserve"> </w:t>
      </w:r>
      <w:r w:rsidRPr="005944B6">
        <w:rPr>
          <w:i/>
          <w:iCs w:val="0"/>
          <w:lang w:val="es-ES"/>
        </w:rPr>
        <w:t>X. v. Tanzania</w:t>
      </w:r>
      <w:r w:rsidRPr="005944B6">
        <w:rPr>
          <w:iCs w:val="0"/>
          <w:lang w:val="es-ES"/>
        </w:rPr>
        <w:t xml:space="preserve"> (CRPD/C/18/D/22/2014).</w:t>
      </w:r>
    </w:p>
  </w:footnote>
  <w:footnote w:id="111">
    <w:p w:rsidR="005C7580" w:rsidRPr="005944B6" w:rsidRDefault="005C7580" w:rsidP="005C7580">
      <w:pPr>
        <w:pStyle w:val="aa"/>
      </w:pPr>
      <w:r w:rsidRPr="005944B6">
        <w:rPr>
          <w:rStyle w:val="ac"/>
          <w:rFonts w:cs="Arial"/>
          <w:szCs w:val="18"/>
        </w:rPr>
        <w:footnoteRef/>
      </w:r>
      <w:r w:rsidRPr="005944B6">
        <w:t xml:space="preserve">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t>.</w:t>
      </w:r>
      <w:r w:rsidRPr="005944B6">
        <w:t xml:space="preserve"> </w:t>
      </w:r>
    </w:p>
  </w:footnote>
  <w:footnote w:id="112">
    <w:p w:rsidR="005C7580" w:rsidRPr="005944B6" w:rsidRDefault="005C7580" w:rsidP="005C7580">
      <w:pPr>
        <w:pStyle w:val="aa"/>
      </w:pPr>
      <w:r w:rsidRPr="005944B6">
        <w:rPr>
          <w:rStyle w:val="ac"/>
          <w:rFonts w:cs="Arial"/>
          <w:szCs w:val="18"/>
        </w:rPr>
        <w:footnoteRef/>
      </w:r>
      <w:r w:rsidRPr="005944B6">
        <w:t xml:space="preserve"> See General Comment No. 2, paragraphs 25-26, and General Comment No. 6, paragraph 24. </w:t>
      </w:r>
    </w:p>
  </w:footnote>
  <w:footnote w:id="113">
    <w:p w:rsidR="005C7580" w:rsidRPr="005944B6" w:rsidRDefault="005C7580" w:rsidP="005C7580">
      <w:pPr>
        <w:pStyle w:val="aa"/>
      </w:pPr>
      <w:r w:rsidRPr="005944B6">
        <w:rPr>
          <w:rStyle w:val="ac"/>
          <w:rFonts w:cs="Arial"/>
          <w:szCs w:val="18"/>
        </w:rPr>
        <w:footnoteRef/>
      </w:r>
      <w:r w:rsidRPr="005944B6">
        <w:t xml:space="preserve"> General Comment No. 6, paragraph 25(d).</w:t>
      </w:r>
    </w:p>
  </w:footnote>
  <w:footnote w:id="114">
    <w:p w:rsidR="005C7580" w:rsidRPr="005944B6" w:rsidRDefault="005C7580" w:rsidP="005C7580">
      <w:pPr>
        <w:pStyle w:val="aa"/>
      </w:pPr>
      <w:r w:rsidRPr="005944B6">
        <w:rPr>
          <w:rStyle w:val="ac"/>
          <w:rFonts w:cs="Arial"/>
          <w:szCs w:val="18"/>
        </w:rPr>
        <w:footnoteRef/>
      </w:r>
      <w:r w:rsidRPr="005944B6">
        <w:t xml:space="preserve"> General Comment No. 6, paragraph 25(c). </w:t>
      </w:r>
    </w:p>
  </w:footnote>
  <w:footnote w:id="115">
    <w:p w:rsidR="005C7580" w:rsidRPr="005944B6" w:rsidRDefault="005C7580" w:rsidP="005C7580">
      <w:pPr>
        <w:pStyle w:val="aa"/>
      </w:pPr>
      <w:r w:rsidRPr="005944B6">
        <w:rPr>
          <w:rStyle w:val="ac"/>
          <w:rFonts w:cs="Arial"/>
          <w:szCs w:val="18"/>
        </w:rPr>
        <w:footnoteRef/>
      </w:r>
      <w:r w:rsidRPr="005944B6">
        <w:t xml:space="preserve"> General Comment No. 6, paragraph 25(c).</w:t>
      </w:r>
    </w:p>
  </w:footnote>
  <w:footnote w:id="116">
    <w:p w:rsidR="005C7580" w:rsidRPr="005944B6" w:rsidRDefault="005C7580" w:rsidP="005C7580">
      <w:pPr>
        <w:pStyle w:val="aa"/>
      </w:pPr>
      <w:r w:rsidRPr="005944B6">
        <w:rPr>
          <w:rStyle w:val="ac"/>
          <w:rFonts w:cs="Arial"/>
          <w:szCs w:val="18"/>
        </w:rPr>
        <w:footnoteRef/>
      </w:r>
      <w:r w:rsidRPr="005944B6">
        <w:t xml:space="preserve"> General Comment No. 2, paragraph 34. </w:t>
      </w:r>
    </w:p>
  </w:footnote>
  <w:footnote w:id="117">
    <w:p w:rsidR="005C7580" w:rsidRPr="005944B6" w:rsidRDefault="005C7580" w:rsidP="005C7580">
      <w:pPr>
        <w:pStyle w:val="aa"/>
      </w:pPr>
      <w:r w:rsidRPr="005944B6">
        <w:rPr>
          <w:rStyle w:val="ac"/>
          <w:rFonts w:cs="Arial"/>
          <w:szCs w:val="18"/>
        </w:rPr>
        <w:footnoteRef/>
      </w:r>
      <w:r w:rsidRPr="005944B6">
        <w:t xml:space="preserve"> General Comment No. 6, paragraph 25(b).</w:t>
      </w:r>
    </w:p>
  </w:footnote>
  <w:footnote w:id="118">
    <w:p w:rsidR="005C7580" w:rsidRPr="005944B6" w:rsidRDefault="005C7580" w:rsidP="005C7580">
      <w:pPr>
        <w:pStyle w:val="aa"/>
      </w:pPr>
      <w:r w:rsidRPr="005944B6">
        <w:rPr>
          <w:rStyle w:val="ac"/>
          <w:rFonts w:cs="Arial"/>
          <w:szCs w:val="18"/>
        </w:rPr>
        <w:footnoteRef/>
      </w:r>
      <w:r w:rsidRPr="005944B6">
        <w:t xml:space="preserve"> General Comment No. 4, paragraph 28.</w:t>
      </w:r>
    </w:p>
  </w:footnote>
  <w:footnote w:id="119">
    <w:p w:rsidR="005C7580" w:rsidRPr="005944B6" w:rsidRDefault="005C7580" w:rsidP="005C7580">
      <w:pPr>
        <w:pStyle w:val="aa"/>
      </w:pPr>
      <w:r w:rsidRPr="005944B6">
        <w:rPr>
          <w:rStyle w:val="ac"/>
          <w:rFonts w:cs="Arial"/>
          <w:szCs w:val="18"/>
        </w:rPr>
        <w:footnoteRef/>
      </w:r>
      <w:r w:rsidRPr="005944B6">
        <w:t xml:space="preserve"> General Comment No. 4, paragraph 30. </w:t>
      </w:r>
    </w:p>
  </w:footnote>
  <w:footnote w:id="120">
    <w:p w:rsidR="005C7580" w:rsidRPr="005944B6" w:rsidRDefault="005C7580" w:rsidP="005C7580">
      <w:pPr>
        <w:pStyle w:val="aa"/>
      </w:pPr>
      <w:r w:rsidRPr="005944B6">
        <w:rPr>
          <w:rStyle w:val="ac"/>
          <w:rFonts w:cs="Arial"/>
          <w:szCs w:val="18"/>
        </w:rPr>
        <w:footnoteRef/>
      </w:r>
      <w:r w:rsidRPr="005944B6">
        <w:t xml:space="preserve"> General Comment No. 6, paragraph 26. </w:t>
      </w:r>
    </w:p>
  </w:footnote>
  <w:footnote w:id="121">
    <w:p w:rsidR="00B7754E" w:rsidRPr="005944B6" w:rsidRDefault="00B7754E" w:rsidP="00B7754E">
      <w:pPr>
        <w:pStyle w:val="aa"/>
      </w:pPr>
      <w:r w:rsidRPr="005944B6">
        <w:rPr>
          <w:rStyle w:val="ac"/>
          <w:rFonts w:cs="Arial"/>
          <w:szCs w:val="18"/>
        </w:rPr>
        <w:footnoteRef/>
      </w:r>
      <w:r w:rsidRPr="005944B6">
        <w:t xml:space="preserve"> Accessibility is mentioned in the preamble of the Convention and in article 2 on definitions, article 3 on general principles, article 4 on general obligations, article 21 on freedom of expression and opinion, and access to information, article 24 on inclusive education, article 27 on work and employment, article 30 on participation in </w:t>
      </w:r>
      <w:r w:rsidRPr="006605B8">
        <w:t>cultural</w:t>
      </w:r>
      <w:r w:rsidRPr="005944B6">
        <w:t xml:space="preserve"> life, recreation, leisure and sport and article 31 on data collection.</w:t>
      </w:r>
    </w:p>
  </w:footnote>
  <w:footnote w:id="122">
    <w:p w:rsidR="00B7754E" w:rsidRPr="005944B6" w:rsidRDefault="00B7754E" w:rsidP="00B7754E">
      <w:pPr>
        <w:pStyle w:val="aa"/>
      </w:pPr>
      <w:r w:rsidRPr="005944B6">
        <w:rPr>
          <w:rStyle w:val="ac"/>
          <w:rFonts w:cs="Arial"/>
          <w:szCs w:val="18"/>
        </w:rPr>
        <w:footnoteRef/>
      </w:r>
      <w:r w:rsidRPr="005944B6">
        <w:t xml:space="preserve"> </w:t>
      </w:r>
      <w:r w:rsidRPr="005944B6">
        <w:rPr>
          <w:i/>
        </w:rPr>
        <w:t xml:space="preserve">Nyusti and Takács v. Hungary </w:t>
      </w:r>
      <w:r w:rsidRPr="005944B6">
        <w:t>(CRPD/C/9/D/1/2010)</w:t>
      </w:r>
      <w:r w:rsidRPr="00C4598B">
        <w:t>,</w:t>
      </w:r>
      <w:r w:rsidRPr="005944B6">
        <w:rPr>
          <w:i/>
        </w:rPr>
        <w:t xml:space="preserve"> X v. Argentina </w:t>
      </w:r>
      <w:r w:rsidRPr="005944B6">
        <w:t>(CRPD/C/11/D/8/2012)</w:t>
      </w:r>
      <w:r w:rsidRPr="00C4598B">
        <w:t>,</w:t>
      </w:r>
      <w:r w:rsidRPr="005944B6">
        <w:rPr>
          <w:i/>
        </w:rPr>
        <w:t xml:space="preserve"> F. v. Austria</w:t>
      </w:r>
      <w:r w:rsidRPr="005944B6">
        <w:t xml:space="preserve"> (CRPD/C/14/D/21/2014)</w:t>
      </w:r>
      <w:r w:rsidRPr="00C4598B">
        <w:t>,</w:t>
      </w:r>
      <w:r w:rsidRPr="005944B6">
        <w:rPr>
          <w:i/>
        </w:rPr>
        <w:t xml:space="preserve"> Beasley v. Australia</w:t>
      </w:r>
      <w:r w:rsidRPr="005944B6">
        <w:t xml:space="preserve"> (CRPD/C/15/D/11/2013), </w:t>
      </w:r>
      <w:r w:rsidRPr="005944B6">
        <w:rPr>
          <w:i/>
        </w:rPr>
        <w:t>Lockrey v. Australia</w:t>
      </w:r>
      <w:r w:rsidRPr="005944B6">
        <w:t xml:space="preserve"> (CRPD/C/15/D/13/2013), </w:t>
      </w:r>
      <w:r w:rsidRPr="005944B6">
        <w:rPr>
          <w:bCs/>
          <w:i/>
          <w:lang w:val="en-AU"/>
        </w:rPr>
        <w:t>Bacher v. Austria</w:t>
      </w:r>
      <w:r w:rsidRPr="005944B6">
        <w:rPr>
          <w:bCs/>
          <w:lang w:val="en-AU"/>
        </w:rPr>
        <w:t xml:space="preserve"> (CRPD/C/19/D/26/2014). </w:t>
      </w:r>
    </w:p>
  </w:footnote>
  <w:footnote w:id="123">
    <w:p w:rsidR="00B7754E" w:rsidRPr="005944B6" w:rsidRDefault="00B7754E" w:rsidP="00B7754E">
      <w:pPr>
        <w:pStyle w:val="aa"/>
      </w:pPr>
      <w:r w:rsidRPr="005944B6">
        <w:rPr>
          <w:rStyle w:val="ac"/>
          <w:rFonts w:cs="Arial"/>
          <w:szCs w:val="18"/>
        </w:rPr>
        <w:footnoteRef/>
      </w:r>
      <w:r w:rsidRPr="005944B6">
        <w:t xml:space="preserve"> General Comment No. 2, paragraph 13. </w:t>
      </w:r>
    </w:p>
  </w:footnote>
  <w:footnote w:id="124">
    <w:p w:rsidR="00B7754E" w:rsidRPr="005944B6" w:rsidRDefault="00B7754E" w:rsidP="00B7754E">
      <w:pPr>
        <w:pStyle w:val="aa"/>
      </w:pPr>
      <w:r w:rsidRPr="005944B6">
        <w:rPr>
          <w:rStyle w:val="ac"/>
          <w:rFonts w:cs="Arial"/>
          <w:szCs w:val="18"/>
        </w:rPr>
        <w:footnoteRef/>
      </w:r>
      <w:r w:rsidRPr="005944B6">
        <w:t xml:space="preserve"> General Comment No. 2, paragraph 13.</w:t>
      </w:r>
    </w:p>
  </w:footnote>
  <w:footnote w:id="125">
    <w:p w:rsidR="00B7754E" w:rsidRPr="005944B6" w:rsidRDefault="00B7754E" w:rsidP="00B7754E">
      <w:pPr>
        <w:pStyle w:val="aa"/>
      </w:pPr>
      <w:r w:rsidRPr="005944B6">
        <w:rPr>
          <w:rStyle w:val="ac"/>
          <w:rFonts w:cs="Arial"/>
          <w:szCs w:val="18"/>
        </w:rPr>
        <w:footnoteRef/>
      </w:r>
      <w:r w:rsidRPr="005944B6">
        <w:t xml:space="preserve"> General Comment No. 2, paragraph 14.</w:t>
      </w:r>
    </w:p>
  </w:footnote>
  <w:footnote w:id="126">
    <w:p w:rsidR="00B7754E" w:rsidRPr="005944B6" w:rsidRDefault="00B7754E" w:rsidP="00B7754E">
      <w:pPr>
        <w:pStyle w:val="aa"/>
      </w:pPr>
      <w:r w:rsidRPr="005944B6">
        <w:rPr>
          <w:rStyle w:val="ac"/>
          <w:rFonts w:cs="Arial"/>
          <w:szCs w:val="18"/>
        </w:rPr>
        <w:footnoteRef/>
      </w:r>
      <w:r w:rsidRPr="005944B6">
        <w:t xml:space="preserve"> General Comment No. 2, paragraph 16. </w:t>
      </w:r>
    </w:p>
  </w:footnote>
  <w:footnote w:id="127">
    <w:p w:rsidR="00FB3CB7" w:rsidRPr="005944B6" w:rsidRDefault="00FB3CB7" w:rsidP="00FB3CB7">
      <w:pPr>
        <w:pStyle w:val="aa"/>
      </w:pPr>
      <w:r w:rsidRPr="005944B6">
        <w:rPr>
          <w:rStyle w:val="ac"/>
          <w:rFonts w:cs="Arial"/>
          <w:szCs w:val="18"/>
        </w:rPr>
        <w:footnoteRef/>
      </w:r>
      <w:r w:rsidRPr="005944B6">
        <w:t xml:space="preserve"> General Comment No. 2, paragraph 15. </w:t>
      </w:r>
    </w:p>
  </w:footnote>
  <w:footnote w:id="128">
    <w:p w:rsidR="00FB3CB7" w:rsidRPr="005944B6" w:rsidRDefault="00FB3CB7" w:rsidP="00FB3CB7">
      <w:pPr>
        <w:pStyle w:val="aa"/>
      </w:pPr>
      <w:r w:rsidRPr="005944B6">
        <w:rPr>
          <w:rStyle w:val="ac"/>
          <w:rFonts w:cs="Arial"/>
          <w:szCs w:val="18"/>
        </w:rPr>
        <w:footnoteRef/>
      </w:r>
      <w:r w:rsidRPr="005944B6">
        <w:t xml:space="preserve"> General Comment No. 2, paragraph 25. See also General Comment No. 4, paragraph 29. </w:t>
      </w:r>
    </w:p>
  </w:footnote>
  <w:footnote w:id="129">
    <w:p w:rsidR="00FB3CB7" w:rsidRPr="005944B6" w:rsidRDefault="00FB3CB7" w:rsidP="00FB3CB7">
      <w:pPr>
        <w:pStyle w:val="aa"/>
      </w:pPr>
      <w:r w:rsidRPr="005944B6">
        <w:rPr>
          <w:rStyle w:val="ac"/>
          <w:rFonts w:cs="Arial"/>
          <w:szCs w:val="18"/>
        </w:rPr>
        <w:footnoteRef/>
      </w:r>
      <w:r w:rsidRPr="005944B6">
        <w:t xml:space="preserve"> General Comment No. 2, paragraph 24.</w:t>
      </w:r>
    </w:p>
  </w:footnote>
  <w:footnote w:id="130">
    <w:p w:rsidR="00FB3CB7" w:rsidRPr="005944B6" w:rsidRDefault="00FB3CB7" w:rsidP="00FB3CB7">
      <w:pPr>
        <w:pStyle w:val="aa"/>
      </w:pPr>
      <w:r w:rsidRPr="005944B6">
        <w:rPr>
          <w:rStyle w:val="ac"/>
          <w:rFonts w:cs="Arial"/>
          <w:szCs w:val="18"/>
        </w:rPr>
        <w:footnoteRef/>
      </w:r>
      <w:r w:rsidRPr="005944B6">
        <w:t xml:space="preserve"> General Comment No. 2, paragraph 31.</w:t>
      </w:r>
    </w:p>
  </w:footnote>
  <w:footnote w:id="131">
    <w:p w:rsidR="00FB3CB7" w:rsidRPr="005944B6" w:rsidRDefault="00FB3CB7" w:rsidP="00FB3CB7">
      <w:pPr>
        <w:pStyle w:val="aa"/>
      </w:pPr>
      <w:r w:rsidRPr="005944B6">
        <w:rPr>
          <w:rStyle w:val="ac"/>
          <w:rFonts w:cs="Arial"/>
          <w:szCs w:val="18"/>
        </w:rPr>
        <w:footnoteRef/>
      </w:r>
      <w:r w:rsidRPr="005944B6">
        <w:t xml:space="preserve"> General Comment No. 2, paragraph 32.</w:t>
      </w:r>
    </w:p>
  </w:footnote>
  <w:footnote w:id="132">
    <w:p w:rsidR="00FB3CB7" w:rsidRPr="005944B6" w:rsidRDefault="00FB3CB7" w:rsidP="00FB3CB7">
      <w:pPr>
        <w:pStyle w:val="aa"/>
      </w:pPr>
      <w:r w:rsidRPr="005944B6">
        <w:rPr>
          <w:rStyle w:val="ac"/>
          <w:rFonts w:cs="Arial"/>
          <w:szCs w:val="18"/>
        </w:rPr>
        <w:footnoteRef/>
      </w:r>
      <w:r w:rsidRPr="005944B6">
        <w:t xml:space="preserve"> General Comment No. 2, paragraph 30.</w:t>
      </w:r>
    </w:p>
  </w:footnote>
  <w:footnote w:id="133">
    <w:p w:rsidR="00FB3CB7" w:rsidRPr="005944B6" w:rsidRDefault="00FB3CB7" w:rsidP="00FB3CB7">
      <w:pPr>
        <w:pStyle w:val="aa"/>
      </w:pPr>
      <w:r w:rsidRPr="005944B6">
        <w:rPr>
          <w:rStyle w:val="ac"/>
          <w:rFonts w:cs="Arial"/>
          <w:szCs w:val="18"/>
        </w:rPr>
        <w:footnoteRef/>
      </w:r>
      <w:r w:rsidRPr="005944B6">
        <w:t xml:space="preserve"> General Comment No. 2, paragraph 33.</w:t>
      </w:r>
    </w:p>
  </w:footnote>
  <w:footnote w:id="134">
    <w:p w:rsidR="00FB3CB7" w:rsidRPr="005944B6" w:rsidRDefault="00FB3CB7" w:rsidP="00FB3CB7">
      <w:pPr>
        <w:pStyle w:val="aa"/>
      </w:pPr>
      <w:r w:rsidRPr="005944B6">
        <w:rPr>
          <w:rStyle w:val="ac"/>
          <w:rFonts w:cs="Arial"/>
          <w:szCs w:val="18"/>
        </w:rPr>
        <w:footnoteRef/>
      </w:r>
      <w:r w:rsidRPr="005944B6">
        <w:t xml:space="preserve"> General Comment No. 2, paragraph 28.</w:t>
      </w:r>
    </w:p>
  </w:footnote>
  <w:footnote w:id="135">
    <w:p w:rsidR="00FB3CB7" w:rsidRPr="005944B6" w:rsidRDefault="00FB3CB7" w:rsidP="00FB3CB7">
      <w:pPr>
        <w:pStyle w:val="aa"/>
      </w:pPr>
      <w:r w:rsidRPr="005944B6">
        <w:rPr>
          <w:rStyle w:val="ac"/>
          <w:rFonts w:cs="Arial"/>
          <w:szCs w:val="18"/>
        </w:rPr>
        <w:footnoteRef/>
      </w:r>
      <w:r w:rsidRPr="005944B6">
        <w:t xml:space="preserve"> General Comment No. 2, paragraph 5.</w:t>
      </w:r>
    </w:p>
  </w:footnote>
  <w:footnote w:id="136">
    <w:p w:rsidR="00FB3CB7" w:rsidRPr="005944B6" w:rsidRDefault="00FB3CB7" w:rsidP="00FB3CB7">
      <w:pPr>
        <w:pStyle w:val="aa"/>
      </w:pPr>
      <w:r w:rsidRPr="005944B6">
        <w:rPr>
          <w:rStyle w:val="ac"/>
          <w:rFonts w:cs="Arial"/>
          <w:szCs w:val="18"/>
        </w:rPr>
        <w:footnoteRef/>
      </w:r>
      <w:r>
        <w:t xml:space="preserve"> See for instance</w:t>
      </w:r>
      <w:r w:rsidRPr="005944B6">
        <w:t xml:space="preserve"> concluding observations on Ecuador </w:t>
      </w:r>
      <w:r w:rsidRPr="005944B6">
        <w:rPr>
          <w:lang w:val="es-ES"/>
        </w:rPr>
        <w:t xml:space="preserve">(CRPD/C/ECU/CO/1), paragraph 23; concluding observations on Cyprus (CRPD/C/CYP/CO/1), paragraph 25. </w:t>
      </w:r>
    </w:p>
  </w:footnote>
  <w:footnote w:id="137">
    <w:p w:rsidR="00FB3CB7" w:rsidRPr="005944B6" w:rsidRDefault="00FB3CB7" w:rsidP="00FB3CB7">
      <w:pPr>
        <w:pStyle w:val="aa"/>
      </w:pPr>
      <w:r w:rsidRPr="005944B6">
        <w:rPr>
          <w:rStyle w:val="ac"/>
          <w:rFonts w:cs="Arial"/>
          <w:szCs w:val="18"/>
        </w:rPr>
        <w:footnoteRef/>
      </w:r>
      <w:r w:rsidRPr="005944B6">
        <w:t xml:space="preserve"> See for instance concluding observations on Costa Rica (CRPD/C/CRI/CO/1), paragraph 62. </w:t>
      </w:r>
    </w:p>
  </w:footnote>
  <w:footnote w:id="138">
    <w:p w:rsidR="00FB3CB7" w:rsidRPr="005944B6" w:rsidRDefault="00FB3CB7" w:rsidP="00FB3CB7">
      <w:pPr>
        <w:pStyle w:val="aa"/>
      </w:pPr>
      <w:r w:rsidRPr="005944B6">
        <w:rPr>
          <w:rStyle w:val="ac"/>
          <w:rFonts w:cs="Arial"/>
          <w:szCs w:val="18"/>
        </w:rPr>
        <w:footnoteRef/>
      </w:r>
      <w:r w:rsidRPr="005944B6">
        <w:t xml:space="preserve"> See Working methods of the Committee on the Rights of Persons with Disabilities</w:t>
      </w:r>
      <w:r w:rsidRPr="005944B6">
        <w:rPr>
          <w:bCs/>
        </w:rPr>
        <w:t xml:space="preserve"> adopted at its fifth session (</w:t>
      </w:r>
      <w:r w:rsidRPr="005944B6">
        <w:t>11-15 April 2011) (CRPD/C/5/4)</w:t>
      </w:r>
      <w:r>
        <w:t>.</w:t>
      </w:r>
    </w:p>
  </w:footnote>
  <w:footnote w:id="139">
    <w:p w:rsidR="00FB3CB7" w:rsidRPr="00375197" w:rsidRDefault="00FB3CB7" w:rsidP="00FB3CB7">
      <w:pPr>
        <w:pStyle w:val="aa"/>
        <w:rPr>
          <w:rFonts w:cs="Arial"/>
          <w:szCs w:val="18"/>
        </w:rPr>
      </w:pPr>
      <w:r>
        <w:rPr>
          <w:rStyle w:val="ac"/>
        </w:rPr>
        <w:footnoteRef/>
      </w:r>
      <w:r w:rsidRPr="005944B6">
        <w:rPr>
          <w:rFonts w:cs="Arial"/>
          <w:szCs w:val="18"/>
        </w:rPr>
        <w:t xml:space="preserve">See: </w:t>
      </w:r>
      <w:hyperlink r:id="rId1" w:tooltip="web link to CRPD subdomain General Comments" w:history="1">
        <w:r w:rsidRPr="005944B6">
          <w:rPr>
            <w:rStyle w:val="ad"/>
            <w:rFonts w:cs="Arial"/>
            <w:szCs w:val="18"/>
          </w:rPr>
          <w:t>https://www.ohchr.org/EN/HRBodies/CRPD/Pages/GC.aspx</w:t>
        </w:r>
      </w:hyperlink>
      <w:r w:rsidRPr="005944B6">
        <w:rPr>
          <w:rFonts w:cs="Arial"/>
          <w:szCs w:val="18"/>
        </w:rPr>
        <w:t xml:space="preserve"> (</w:t>
      </w:r>
      <w:r>
        <w:rPr>
          <w:rFonts w:cs="Arial"/>
          <w:szCs w:val="18"/>
        </w:rPr>
        <w:t>see “all CRPD General Comments”).</w:t>
      </w:r>
    </w:p>
  </w:footnote>
  <w:footnote w:id="140">
    <w:p w:rsidR="002C1383" w:rsidRPr="005944B6" w:rsidRDefault="002C1383" w:rsidP="002C1383">
      <w:pPr>
        <w:pStyle w:val="aa"/>
      </w:pPr>
      <w:r w:rsidRPr="005944B6">
        <w:rPr>
          <w:rStyle w:val="ac"/>
          <w:rFonts w:cs="Arial"/>
          <w:szCs w:val="18"/>
        </w:rPr>
        <w:footnoteRef/>
      </w:r>
      <w:r w:rsidRPr="005944B6">
        <w:t xml:space="preserve"> Convention on the Rights of Persons with Disabilities, Preamble (i). </w:t>
      </w:r>
    </w:p>
  </w:footnote>
  <w:footnote w:id="141">
    <w:p w:rsidR="002C1383" w:rsidRPr="005944B6" w:rsidRDefault="002C1383" w:rsidP="002C1383">
      <w:pPr>
        <w:pStyle w:val="aa"/>
      </w:pPr>
      <w:r w:rsidRPr="005944B6">
        <w:rPr>
          <w:rStyle w:val="ac"/>
          <w:rFonts w:cs="Arial"/>
          <w:szCs w:val="18"/>
        </w:rPr>
        <w:footnoteRef/>
      </w:r>
      <w:r w:rsidRPr="005944B6">
        <w:t xml:space="preserve"> See for instance </w:t>
      </w:r>
      <w:r>
        <w:t>c</w:t>
      </w:r>
      <w:r w:rsidRPr="005944B6">
        <w:t xml:space="preserve">oncluding </w:t>
      </w:r>
      <w:r>
        <w:t>o</w:t>
      </w:r>
      <w:r w:rsidRPr="005944B6">
        <w:t xml:space="preserve">bservations on Nepal (CRPD/C/NPL/CO/1), paragraph 8. </w:t>
      </w:r>
    </w:p>
  </w:footnote>
  <w:footnote w:id="142">
    <w:p w:rsidR="002C1383" w:rsidRPr="005944B6" w:rsidRDefault="002C1383" w:rsidP="002C1383">
      <w:pPr>
        <w:pStyle w:val="aa"/>
      </w:pPr>
      <w:r w:rsidRPr="005944B6">
        <w:rPr>
          <w:rStyle w:val="ac"/>
          <w:rFonts w:cs="Arial"/>
          <w:szCs w:val="18"/>
        </w:rPr>
        <w:footnoteRef/>
      </w:r>
      <w:r w:rsidRPr="005944B6">
        <w:t xml:space="preserve"> </w:t>
      </w:r>
      <w:r>
        <w:t>See for instance concluding o</w:t>
      </w:r>
      <w:r w:rsidRPr="005944B6">
        <w:t xml:space="preserve">bservations on Kenya (CRPD/C/KEN/CO/1), paragraph 44. </w:t>
      </w:r>
    </w:p>
  </w:footnote>
  <w:footnote w:id="143">
    <w:p w:rsidR="002C1383" w:rsidRPr="005944B6" w:rsidRDefault="002C1383" w:rsidP="002C1383">
      <w:pPr>
        <w:pStyle w:val="aa"/>
      </w:pPr>
      <w:r w:rsidRPr="005944B6">
        <w:rPr>
          <w:rStyle w:val="ac"/>
          <w:rFonts w:cs="Arial"/>
          <w:szCs w:val="18"/>
        </w:rPr>
        <w:footnoteRef/>
      </w:r>
      <w:r w:rsidRPr="005944B6">
        <w:t xml:space="preserve"> See for instance </w:t>
      </w:r>
      <w:r>
        <w:t xml:space="preserve">General </w:t>
      </w:r>
      <w:r w:rsidRPr="005944B6">
        <w:t>Comment No</w:t>
      </w:r>
      <w:r>
        <w:t>.</w:t>
      </w:r>
      <w:r w:rsidRPr="005944B6">
        <w:t xml:space="preserve"> 2, paragraph 6; </w:t>
      </w:r>
      <w:r>
        <w:t>c</w:t>
      </w:r>
      <w:r w:rsidRPr="005944B6">
        <w:t xml:space="preserve">oncluding observations on Argentina (CRPD/C/ARG/CO/1), Uganda (CRPD/C/UGA/CO/1) or Belgium (CRPD/C/BEL/CO/1). </w:t>
      </w:r>
    </w:p>
  </w:footnote>
  <w:footnote w:id="144">
    <w:p w:rsidR="002C1383" w:rsidRPr="005944B6" w:rsidRDefault="002C1383" w:rsidP="002C1383">
      <w:pPr>
        <w:pStyle w:val="aa"/>
      </w:pPr>
      <w:r w:rsidRPr="005944B6">
        <w:rPr>
          <w:rStyle w:val="ac"/>
          <w:rFonts w:cs="Arial"/>
          <w:szCs w:val="18"/>
        </w:rPr>
        <w:footnoteRef/>
      </w:r>
      <w:r w:rsidRPr="005944B6">
        <w:t xml:space="preserve"> </w:t>
      </w:r>
      <w:r w:rsidRPr="005944B6">
        <w:rPr>
          <w:i/>
        </w:rPr>
        <w:t>Lockrey v. Australia</w:t>
      </w:r>
      <w:r w:rsidRPr="005944B6">
        <w:t xml:space="preserve"> (CRPD/C/15/D/13/2013)</w:t>
      </w:r>
      <w:r>
        <w:t>,</w:t>
      </w:r>
      <w:r w:rsidRPr="005944B6">
        <w:t xml:space="preserve"> </w:t>
      </w:r>
      <w:r w:rsidRPr="005944B6">
        <w:rPr>
          <w:i/>
        </w:rPr>
        <w:t>Beasley v. Australia</w:t>
      </w:r>
      <w:r w:rsidRPr="005944B6">
        <w:t xml:space="preserve"> (CRPD/C/15/D/11/2013).</w:t>
      </w:r>
    </w:p>
  </w:footnote>
  <w:footnote w:id="145">
    <w:p w:rsidR="002C1383" w:rsidRPr="005944B6" w:rsidRDefault="002C1383" w:rsidP="002C1383">
      <w:pPr>
        <w:pStyle w:val="aa"/>
      </w:pPr>
      <w:r w:rsidRPr="005944B6">
        <w:rPr>
          <w:rStyle w:val="ac"/>
          <w:rFonts w:cs="Arial"/>
          <w:szCs w:val="18"/>
        </w:rPr>
        <w:footnoteRef/>
      </w:r>
      <w:r w:rsidRPr="005944B6">
        <w:t xml:space="preserve"> </w:t>
      </w:r>
      <w:r w:rsidRPr="005944B6">
        <w:rPr>
          <w:i/>
        </w:rPr>
        <w:t>Nyusti</w:t>
      </w:r>
      <w:r w:rsidRPr="00863A89">
        <w:rPr>
          <w:i/>
          <w:sz w:val="2"/>
        </w:rPr>
        <w:t xml:space="preserve"> </w:t>
      </w:r>
      <w:r w:rsidRPr="005944B6">
        <w:rPr>
          <w:i/>
        </w:rPr>
        <w:t>and</w:t>
      </w:r>
      <w:r w:rsidRPr="00863A89">
        <w:rPr>
          <w:i/>
          <w:sz w:val="4"/>
        </w:rPr>
        <w:t xml:space="preserve"> </w:t>
      </w:r>
      <w:r w:rsidRPr="005944B6">
        <w:rPr>
          <w:i/>
        </w:rPr>
        <w:t>Takács</w:t>
      </w:r>
      <w:r w:rsidRPr="00863A89">
        <w:rPr>
          <w:i/>
          <w:sz w:val="8"/>
        </w:rPr>
        <w:t xml:space="preserve"> </w:t>
      </w:r>
      <w:r w:rsidRPr="005944B6">
        <w:rPr>
          <w:i/>
        </w:rPr>
        <w:t>v.</w:t>
      </w:r>
      <w:r w:rsidRPr="00863A89">
        <w:rPr>
          <w:i/>
          <w:sz w:val="14"/>
        </w:rPr>
        <w:t xml:space="preserve"> </w:t>
      </w:r>
      <w:r w:rsidRPr="005944B6">
        <w:rPr>
          <w:i/>
        </w:rPr>
        <w:t>Hungary</w:t>
      </w:r>
      <w:r w:rsidRPr="005944B6">
        <w:t xml:space="preserve"> (CRPD/C/9/D/1/2010)</w:t>
      </w:r>
      <w:r>
        <w:t>,</w:t>
      </w:r>
      <w:r w:rsidRPr="005944B6">
        <w:t xml:space="preserve"> </w:t>
      </w:r>
      <w:r w:rsidRPr="005944B6">
        <w:rPr>
          <w:i/>
        </w:rPr>
        <w:t xml:space="preserve">Jungelin </w:t>
      </w:r>
      <w:r w:rsidRPr="005944B6">
        <w:t>v.</w:t>
      </w:r>
      <w:r w:rsidRPr="005944B6">
        <w:rPr>
          <w:i/>
        </w:rPr>
        <w:t xml:space="preserve"> Sweden</w:t>
      </w:r>
      <w:r w:rsidRPr="005944B6">
        <w:t xml:space="preserve"> (CRPD/C/12/D/5/2011)</w:t>
      </w:r>
      <w:r>
        <w:t>,</w:t>
      </w:r>
      <w:r w:rsidRPr="005944B6">
        <w:t xml:space="preserve"> </w:t>
      </w:r>
      <w:r w:rsidRPr="005944B6">
        <w:rPr>
          <w:i/>
        </w:rPr>
        <w:t>F. v. Austria</w:t>
      </w:r>
      <w:r w:rsidRPr="005944B6">
        <w:t xml:space="preserve"> (CRPD/C/14/D/21/2014).</w:t>
      </w:r>
    </w:p>
  </w:footnote>
  <w:footnote w:id="146">
    <w:p w:rsidR="002C1383" w:rsidRPr="005944B6" w:rsidRDefault="002C1383" w:rsidP="002C1383">
      <w:pPr>
        <w:pStyle w:val="aa"/>
        <w:rPr>
          <w:i/>
        </w:rPr>
      </w:pPr>
      <w:r w:rsidRPr="005944B6">
        <w:rPr>
          <w:rStyle w:val="ac"/>
          <w:rFonts w:cs="Arial"/>
          <w:szCs w:val="18"/>
        </w:rPr>
        <w:footnoteRef/>
      </w:r>
      <w:r w:rsidRPr="005944B6">
        <w:t xml:space="preserve"> </w:t>
      </w:r>
      <w:r w:rsidRPr="005944B6">
        <w:rPr>
          <w:i/>
        </w:rPr>
        <w:t xml:space="preserve">Bujdosó et al. v. Hungary </w:t>
      </w:r>
      <w:r>
        <w:t>(CRPD/C/9/D/1/2010),</w:t>
      </w:r>
      <w:r w:rsidRPr="005944B6">
        <w:t xml:space="preserve"> </w:t>
      </w:r>
      <w:r w:rsidRPr="005944B6">
        <w:rPr>
          <w:i/>
        </w:rPr>
        <w:t xml:space="preserve">Noble v. Australia </w:t>
      </w:r>
      <w:r w:rsidRPr="005944B6">
        <w:t>(indigenous person with intellectual disability) (CRPD/C/16/D/7/2012)</w:t>
      </w:r>
      <w:r>
        <w:t>,</w:t>
      </w:r>
      <w:r w:rsidRPr="005944B6">
        <w:t xml:space="preserve"> </w:t>
      </w:r>
      <w:r w:rsidRPr="005944B6">
        <w:rPr>
          <w:bCs/>
          <w:i/>
          <w:lang w:val="en-AU"/>
        </w:rPr>
        <w:t>Bacher v. Austria</w:t>
      </w:r>
      <w:r w:rsidRPr="005944B6">
        <w:rPr>
          <w:bCs/>
          <w:lang w:val="en-AU"/>
        </w:rPr>
        <w:t xml:space="preserve"> (down syndrome and autism) (CRPD/C/19/D/26/2014).</w:t>
      </w:r>
    </w:p>
  </w:footnote>
  <w:footnote w:id="147">
    <w:p w:rsidR="002C1383" w:rsidRPr="005944B6" w:rsidRDefault="002C1383" w:rsidP="002C1383">
      <w:pPr>
        <w:pStyle w:val="aa"/>
        <w:rPr>
          <w:b/>
          <w:bCs/>
        </w:rPr>
      </w:pPr>
      <w:r w:rsidRPr="005944B6">
        <w:rPr>
          <w:rStyle w:val="ac"/>
          <w:rFonts w:cs="Arial"/>
          <w:szCs w:val="18"/>
        </w:rPr>
        <w:footnoteRef/>
      </w:r>
      <w:r w:rsidRPr="005944B6">
        <w:t xml:space="preserve"> </w:t>
      </w:r>
      <w:r w:rsidRPr="005944B6">
        <w:rPr>
          <w:i/>
        </w:rPr>
        <w:t>A.F. v. Italy</w:t>
      </w:r>
      <w:r w:rsidRPr="005944B6">
        <w:t xml:space="preserve"> (CRPD/C/13/D/9/2012)</w:t>
      </w:r>
      <w:r>
        <w:t>,</w:t>
      </w:r>
      <w:r w:rsidRPr="005944B6">
        <w:t xml:space="preserve"> </w:t>
      </w:r>
      <w:r w:rsidRPr="005944B6">
        <w:rPr>
          <w:i/>
        </w:rPr>
        <w:t>Fiona Given v. Australia</w:t>
      </w:r>
      <w:r w:rsidRPr="005944B6">
        <w:t xml:space="preserve"> (CRPD/C/19/D/19/2014)</w:t>
      </w:r>
      <w:r>
        <w:t>,</w:t>
      </w:r>
      <w:r w:rsidRPr="005944B6">
        <w:t xml:space="preserve"> </w:t>
      </w:r>
      <w:r w:rsidRPr="005944B6">
        <w:rPr>
          <w:bCs/>
          <w:i/>
          <w:lang w:val="en-AU"/>
        </w:rPr>
        <w:t xml:space="preserve">Bacher v. Austria </w:t>
      </w:r>
      <w:r w:rsidRPr="005944B6">
        <w:rPr>
          <w:bCs/>
          <w:lang w:val="en-AU"/>
        </w:rPr>
        <w:t>(CRPD/C/19/D/26/2014)</w:t>
      </w:r>
      <w:r>
        <w:rPr>
          <w:bCs/>
          <w:lang w:val="en-AU"/>
        </w:rPr>
        <w:t>,</w:t>
      </w:r>
      <w:r w:rsidRPr="005944B6">
        <w:t xml:space="preserve"> </w:t>
      </w:r>
      <w:r w:rsidRPr="005944B6">
        <w:rPr>
          <w:bCs/>
          <w:i/>
        </w:rPr>
        <w:t>Makarov v. Lithuania</w:t>
      </w:r>
      <w:r w:rsidRPr="005944B6">
        <w:rPr>
          <w:bCs/>
        </w:rPr>
        <w:t xml:space="preserve"> (CRPD/C/18/D/30/2015).</w:t>
      </w:r>
    </w:p>
  </w:footnote>
  <w:footnote w:id="148">
    <w:p w:rsidR="002C1383" w:rsidRPr="00372E27" w:rsidRDefault="002C1383" w:rsidP="002C1383">
      <w:pPr>
        <w:pStyle w:val="aa"/>
        <w:rPr>
          <w:lang w:val="fr-FR"/>
        </w:rPr>
      </w:pPr>
      <w:r w:rsidRPr="005944B6">
        <w:rPr>
          <w:rStyle w:val="ac"/>
          <w:rFonts w:cs="Arial"/>
          <w:szCs w:val="18"/>
        </w:rPr>
        <w:footnoteRef/>
      </w:r>
      <w:r w:rsidRPr="00375197">
        <w:rPr>
          <w:lang w:val="fr-FR"/>
        </w:rPr>
        <w:t xml:space="preserve"> </w:t>
      </w:r>
      <w:r w:rsidRPr="00372E27">
        <w:rPr>
          <w:i/>
          <w:lang w:val="fr-FR"/>
        </w:rPr>
        <w:t>X. v. Tanzania</w:t>
      </w:r>
      <w:r w:rsidRPr="00372E27">
        <w:rPr>
          <w:lang w:val="fr-FR"/>
        </w:rPr>
        <w:t xml:space="preserve"> (CRPD/C/18/D/22/2014). </w:t>
      </w:r>
    </w:p>
  </w:footnote>
  <w:footnote w:id="149">
    <w:p w:rsidR="002C1383" w:rsidRPr="005944B6" w:rsidRDefault="002C1383" w:rsidP="002C1383">
      <w:pPr>
        <w:pStyle w:val="aa"/>
      </w:pPr>
      <w:r w:rsidRPr="005944B6">
        <w:rPr>
          <w:rStyle w:val="ac"/>
          <w:rFonts w:cs="Arial"/>
          <w:szCs w:val="18"/>
        </w:rPr>
        <w:footnoteRef/>
      </w:r>
      <w:r w:rsidRPr="005944B6">
        <w:rPr>
          <w:i/>
        </w:rPr>
        <w:t xml:space="preserve"> X v. Argentina</w:t>
      </w:r>
      <w:r w:rsidRPr="005944B6">
        <w:t xml:space="preserve"> (cognitive disorder, partial loss of vision and mobility problems) (CRPD/C/11/</w:t>
      </w:r>
      <w:r>
        <w:t xml:space="preserve"> </w:t>
      </w:r>
      <w:r w:rsidRPr="005944B6">
        <w:t xml:space="preserve">D/8/2012). </w:t>
      </w:r>
    </w:p>
  </w:footnote>
  <w:footnote w:id="150">
    <w:p w:rsidR="002C1383" w:rsidRPr="00372E27" w:rsidRDefault="002C1383" w:rsidP="002C1383">
      <w:pPr>
        <w:pStyle w:val="aa"/>
        <w:rPr>
          <w:lang w:val="de-DE"/>
        </w:rPr>
      </w:pPr>
      <w:r w:rsidRPr="005944B6">
        <w:rPr>
          <w:rStyle w:val="ac"/>
          <w:rFonts w:cs="Arial"/>
          <w:szCs w:val="18"/>
        </w:rPr>
        <w:footnoteRef/>
      </w:r>
      <w:r w:rsidRPr="00372E27">
        <w:rPr>
          <w:lang w:val="de-DE"/>
        </w:rPr>
        <w:t xml:space="preserve"> </w:t>
      </w:r>
      <w:r w:rsidRPr="00372E27">
        <w:rPr>
          <w:i/>
          <w:lang w:val="de-DE"/>
        </w:rPr>
        <w:t>H.M vs. Sweden</w:t>
      </w:r>
      <w:r w:rsidRPr="00372E27">
        <w:rPr>
          <w:lang w:val="de-DE"/>
        </w:rPr>
        <w:t xml:space="preserve"> (CRPD/C/7/D/3/2011).</w:t>
      </w:r>
    </w:p>
  </w:footnote>
  <w:footnote w:id="151">
    <w:p w:rsidR="002C1383" w:rsidRPr="005944B6" w:rsidRDefault="002C1383" w:rsidP="002C1383">
      <w:pPr>
        <w:pStyle w:val="aa"/>
      </w:pPr>
      <w:r w:rsidRPr="005944B6">
        <w:rPr>
          <w:rStyle w:val="ac"/>
          <w:rFonts w:cs="Arial"/>
          <w:szCs w:val="18"/>
        </w:rPr>
        <w:footnoteRef/>
      </w:r>
      <w:r w:rsidRPr="005944B6">
        <w:t xml:space="preserve"> General Comment No. 2, paragraphs 6 and 35.</w:t>
      </w:r>
    </w:p>
  </w:footnote>
  <w:footnote w:id="152">
    <w:p w:rsidR="002C1383" w:rsidRPr="005944B6" w:rsidRDefault="002C1383" w:rsidP="002C1383">
      <w:pPr>
        <w:pStyle w:val="aa"/>
      </w:pPr>
      <w:r w:rsidRPr="005944B6">
        <w:rPr>
          <w:rStyle w:val="ac"/>
          <w:rFonts w:cs="Arial"/>
          <w:szCs w:val="18"/>
        </w:rPr>
        <w:footnoteRef/>
      </w:r>
      <w:r w:rsidRPr="005944B6">
        <w:t xml:space="preserve"> See </w:t>
      </w:r>
      <w:r>
        <w:t>c</w:t>
      </w:r>
      <w:r w:rsidRPr="005944B6">
        <w:t xml:space="preserve">oncluding observations on New Zealand (CRPD/C/NZL/CO/1), paragraph 7. </w:t>
      </w:r>
    </w:p>
  </w:footnote>
  <w:footnote w:id="153">
    <w:p w:rsidR="002C1383" w:rsidRPr="005944B6" w:rsidRDefault="002C1383" w:rsidP="002C1383">
      <w:pPr>
        <w:pStyle w:val="aa"/>
      </w:pPr>
      <w:r w:rsidRPr="005944B6">
        <w:rPr>
          <w:rStyle w:val="ac"/>
          <w:rFonts w:cs="Arial"/>
          <w:szCs w:val="18"/>
        </w:rPr>
        <w:footnoteRef/>
      </w:r>
      <w:r w:rsidRPr="005944B6">
        <w:t xml:space="preserve"> General Comment No</w:t>
      </w:r>
      <w:r>
        <w:t>.</w:t>
      </w:r>
      <w:r w:rsidRPr="005944B6">
        <w:t xml:space="preserve"> 2, paragraphs 5 and 30.</w:t>
      </w:r>
    </w:p>
  </w:footnote>
  <w:footnote w:id="154">
    <w:p w:rsidR="002C1383" w:rsidRPr="005944B6" w:rsidRDefault="002C1383" w:rsidP="002C1383">
      <w:pPr>
        <w:pStyle w:val="aa"/>
      </w:pPr>
      <w:r w:rsidRPr="005944B6">
        <w:rPr>
          <w:rStyle w:val="ac"/>
          <w:rFonts w:cs="Arial"/>
          <w:szCs w:val="18"/>
        </w:rPr>
        <w:footnoteRef/>
      </w:r>
      <w:r>
        <w:t xml:space="preserve"> See c</w:t>
      </w:r>
      <w:r w:rsidRPr="005944B6">
        <w:t xml:space="preserve">oncluding observations on Uganda (CRPD/C/UGA/CO/1), paragraphs 8, 15 and 51. </w:t>
      </w:r>
    </w:p>
  </w:footnote>
  <w:footnote w:id="155">
    <w:p w:rsidR="002C1383" w:rsidRPr="005944B6" w:rsidRDefault="002C1383" w:rsidP="002C1383">
      <w:pPr>
        <w:pStyle w:val="aa"/>
      </w:pPr>
      <w:r w:rsidRPr="005944B6">
        <w:rPr>
          <w:rStyle w:val="ac"/>
          <w:rFonts w:cs="Arial"/>
          <w:szCs w:val="18"/>
        </w:rPr>
        <w:footnoteRef/>
      </w:r>
      <w:r w:rsidRPr="005944B6">
        <w:t xml:space="preserve"> Concluding observations on Slovakia (CRPD/C/SVK/CO/1), paragraph 60.</w:t>
      </w:r>
    </w:p>
  </w:footnote>
  <w:footnote w:id="156">
    <w:p w:rsidR="002C1383" w:rsidRPr="005944B6" w:rsidRDefault="002C1383" w:rsidP="002C1383">
      <w:pPr>
        <w:pStyle w:val="aa"/>
      </w:pPr>
      <w:r w:rsidRPr="005944B6">
        <w:rPr>
          <w:rStyle w:val="ac"/>
          <w:rFonts w:cs="Arial"/>
          <w:szCs w:val="18"/>
        </w:rPr>
        <w:footnoteRef/>
      </w:r>
      <w:r w:rsidRPr="005944B6">
        <w:t xml:space="preserve"> See </w:t>
      </w:r>
      <w:r>
        <w:t>c</w:t>
      </w:r>
      <w:r w:rsidRPr="005944B6">
        <w:t xml:space="preserve">oncluding observations on Brazil (CRPD/C/BRA/CO/1), paragraph 54. </w:t>
      </w:r>
    </w:p>
  </w:footnote>
  <w:footnote w:id="157">
    <w:p w:rsidR="002C1383" w:rsidRPr="005944B6" w:rsidRDefault="002C1383" w:rsidP="002C1383">
      <w:pPr>
        <w:pStyle w:val="aa"/>
      </w:pPr>
      <w:r w:rsidRPr="005944B6">
        <w:rPr>
          <w:rStyle w:val="ac"/>
          <w:rFonts w:cs="Arial"/>
          <w:szCs w:val="18"/>
        </w:rPr>
        <w:footnoteRef/>
      </w:r>
      <w:r w:rsidRPr="005944B6">
        <w:t xml:space="preserve"> See for instance </w:t>
      </w:r>
      <w:r>
        <w:t>c</w:t>
      </w:r>
      <w:r w:rsidRPr="005944B6">
        <w:t>oncluding observations on El Salvador (CRPD/C/SLV/CO/1), paragraph 11 and concluding observations on Oman (CRPD/C/OMN/CO/1), paragraph 48.</w:t>
      </w:r>
    </w:p>
  </w:footnote>
  <w:footnote w:id="158">
    <w:p w:rsidR="002C1383" w:rsidRPr="005944B6" w:rsidRDefault="002C1383" w:rsidP="002C1383">
      <w:pPr>
        <w:pStyle w:val="aa"/>
      </w:pPr>
      <w:r w:rsidRPr="005944B6">
        <w:rPr>
          <w:rStyle w:val="ac"/>
          <w:rFonts w:cs="Arial"/>
          <w:szCs w:val="18"/>
        </w:rPr>
        <w:footnoteRef/>
      </w:r>
      <w:r w:rsidRPr="005944B6">
        <w:t xml:space="preserve"> See General Comment No. 2, paragraph 6; </w:t>
      </w:r>
      <w:r>
        <w:t>c</w:t>
      </w:r>
      <w:r w:rsidRPr="005944B6">
        <w:t>oncluding observations on Turkmenistan (CRPD/C/</w:t>
      </w:r>
      <w:r>
        <w:t xml:space="preserve"> </w:t>
      </w:r>
      <w:r w:rsidRPr="005944B6">
        <w:t>TKM/CO/1), paragraph 24 and concluding observations on Ukraine (CRPD/C/UKR/CO/1), paragraph 22.</w:t>
      </w:r>
    </w:p>
  </w:footnote>
  <w:footnote w:id="159">
    <w:p w:rsidR="002C1383" w:rsidRPr="005944B6" w:rsidRDefault="002C1383" w:rsidP="002C1383">
      <w:pPr>
        <w:pStyle w:val="aa"/>
      </w:pPr>
      <w:r w:rsidRPr="005944B6">
        <w:rPr>
          <w:rStyle w:val="ac"/>
          <w:rFonts w:cs="Arial"/>
          <w:szCs w:val="18"/>
        </w:rPr>
        <w:footnoteRef/>
      </w:r>
      <w:r w:rsidRPr="005944B6">
        <w:t xml:space="preserve"> Concluding observations on the United Kingdom (CRPD/C/GBR/CO/1), paragraphs 23 and 55.</w:t>
      </w:r>
    </w:p>
  </w:footnote>
  <w:footnote w:id="160">
    <w:p w:rsidR="002C1383" w:rsidRPr="005944B6" w:rsidRDefault="002C1383" w:rsidP="002C1383">
      <w:pPr>
        <w:pStyle w:val="aa"/>
      </w:pPr>
      <w:r w:rsidRPr="005944B6">
        <w:rPr>
          <w:rStyle w:val="ac"/>
          <w:rFonts w:cs="Arial"/>
          <w:szCs w:val="18"/>
        </w:rPr>
        <w:footnoteRef/>
      </w:r>
      <w:r w:rsidRPr="005944B6">
        <w:t xml:space="preserve"> Concluding observations on China (CRPD/C/CHN/CO/1), paragraphs 31 and 32.</w:t>
      </w:r>
      <w:r>
        <w:t xml:space="preserve"> </w:t>
      </w:r>
      <w:r w:rsidRPr="005944B6">
        <w:t xml:space="preserve"> </w:t>
      </w:r>
    </w:p>
  </w:footnote>
  <w:footnote w:id="161">
    <w:p w:rsidR="002C1383" w:rsidRPr="005944B6" w:rsidRDefault="002C1383" w:rsidP="002C1383">
      <w:pPr>
        <w:pStyle w:val="aa"/>
      </w:pPr>
      <w:r w:rsidRPr="005944B6">
        <w:rPr>
          <w:rStyle w:val="ac"/>
          <w:rFonts w:cs="Arial"/>
          <w:szCs w:val="18"/>
        </w:rPr>
        <w:footnoteRef/>
      </w:r>
      <w:r w:rsidRPr="005944B6">
        <w:t xml:space="preserve"> Concluding observations on Canada (CRPD/C/CAN/CO/1), paragraph 12. </w:t>
      </w:r>
    </w:p>
  </w:footnote>
  <w:footnote w:id="162">
    <w:p w:rsidR="00FB1F6B" w:rsidRPr="005944B6" w:rsidRDefault="00FB1F6B" w:rsidP="00FB1F6B">
      <w:pPr>
        <w:pStyle w:val="aa"/>
      </w:pPr>
      <w:r w:rsidRPr="005944B6">
        <w:rPr>
          <w:rStyle w:val="ac"/>
          <w:rFonts w:cs="Arial"/>
          <w:szCs w:val="18"/>
        </w:rPr>
        <w:footnoteRef/>
      </w:r>
      <w:r w:rsidRPr="005944B6">
        <w:t xml:space="preserve"> General Comment No. 6 (CRPD/C/GC/6), paragraph 9. </w:t>
      </w:r>
    </w:p>
  </w:footnote>
  <w:footnote w:id="163">
    <w:p w:rsidR="00FB1F6B" w:rsidRPr="005944B6" w:rsidRDefault="00FB1F6B" w:rsidP="00FB1F6B">
      <w:pPr>
        <w:pStyle w:val="aa"/>
      </w:pPr>
      <w:r w:rsidRPr="005944B6">
        <w:rPr>
          <w:rStyle w:val="ac"/>
          <w:rFonts w:cs="Arial"/>
          <w:szCs w:val="18"/>
        </w:rPr>
        <w:footnoteRef/>
      </w:r>
      <w:r w:rsidRPr="005944B6">
        <w:t xml:space="preserve"> General Comment No. 6 (CRPD/C/GC/6), paragraph 34.</w:t>
      </w:r>
    </w:p>
  </w:footnote>
  <w:footnote w:id="164">
    <w:p w:rsidR="00FB1F6B" w:rsidRPr="005944B6" w:rsidRDefault="00FB1F6B" w:rsidP="00FB1F6B">
      <w:pPr>
        <w:pStyle w:val="aa"/>
      </w:pPr>
      <w:r w:rsidRPr="005944B6">
        <w:rPr>
          <w:rStyle w:val="ac"/>
          <w:rFonts w:cs="Arial"/>
          <w:szCs w:val="18"/>
        </w:rPr>
        <w:footnoteRef/>
      </w:r>
      <w:r w:rsidRPr="005944B6">
        <w:t xml:space="preserve"> Understood in a wide sense, see General Comment No. 3, paragraph 5. </w:t>
      </w:r>
    </w:p>
  </w:footnote>
  <w:footnote w:id="165">
    <w:p w:rsidR="00FB1F6B" w:rsidRPr="005944B6" w:rsidRDefault="00FB1F6B" w:rsidP="00FB1F6B">
      <w:pPr>
        <w:pStyle w:val="aa"/>
      </w:pPr>
      <w:r w:rsidRPr="005944B6">
        <w:rPr>
          <w:rStyle w:val="ac"/>
          <w:rFonts w:cs="Arial"/>
          <w:szCs w:val="18"/>
        </w:rPr>
        <w:footnoteRef/>
      </w:r>
      <w:r w:rsidRPr="005944B6">
        <w:t xml:space="preserve"> See Concluding observations on Hungary (CRPD/C/HUN/CO/1), paragraph 42 and concluding observations on Serbia (CRPD/C/SRB/CO/1), paragraph 59. </w:t>
      </w:r>
    </w:p>
  </w:footnote>
  <w:footnote w:id="166">
    <w:p w:rsidR="00FB1F6B" w:rsidRPr="005944B6" w:rsidRDefault="00FB1F6B" w:rsidP="00FB1F6B">
      <w:pPr>
        <w:pStyle w:val="aa"/>
      </w:pPr>
      <w:r w:rsidRPr="005944B6">
        <w:rPr>
          <w:rStyle w:val="ac"/>
          <w:rFonts w:cs="Arial"/>
          <w:szCs w:val="18"/>
        </w:rPr>
        <w:footnoteRef/>
      </w:r>
      <w:r w:rsidRPr="005944B6">
        <w:t xml:space="preserve"> Concluding observations on Cyprus (CRPD/C/CYP/CO/1), paragraph 16. </w:t>
      </w:r>
    </w:p>
  </w:footnote>
  <w:footnote w:id="167">
    <w:p w:rsidR="00FB1F6B" w:rsidRPr="005944B6" w:rsidRDefault="00FB1F6B" w:rsidP="00FB1F6B">
      <w:pPr>
        <w:pStyle w:val="aa"/>
      </w:pPr>
      <w:r w:rsidRPr="005944B6">
        <w:rPr>
          <w:rStyle w:val="ac"/>
          <w:rFonts w:cs="Arial"/>
          <w:szCs w:val="18"/>
        </w:rPr>
        <w:footnoteRef/>
      </w:r>
      <w:r w:rsidRPr="005944B6">
        <w:t xml:space="preserve"> Concluding observations on Colombia (CRPD/C/COL/CO/1), paragraph 57.</w:t>
      </w:r>
    </w:p>
  </w:footnote>
  <w:footnote w:id="168">
    <w:p w:rsidR="00FB1F6B" w:rsidRPr="005944B6" w:rsidRDefault="00FB1F6B" w:rsidP="00FB1F6B">
      <w:pPr>
        <w:pStyle w:val="aa"/>
      </w:pPr>
      <w:r w:rsidRPr="005944B6">
        <w:rPr>
          <w:rStyle w:val="ac"/>
          <w:rFonts w:cs="Arial"/>
          <w:szCs w:val="18"/>
        </w:rPr>
        <w:footnoteRef/>
      </w:r>
      <w:r w:rsidRPr="005944B6">
        <w:t xml:space="preserve"> General Comment </w:t>
      </w:r>
      <w:r>
        <w:t xml:space="preserve">No. </w:t>
      </w:r>
      <w:r w:rsidRPr="005944B6">
        <w:t xml:space="preserve">5, paragraph 23. </w:t>
      </w:r>
    </w:p>
  </w:footnote>
  <w:footnote w:id="169">
    <w:p w:rsidR="00FB1F6B" w:rsidRPr="005944B6" w:rsidRDefault="00FB1F6B" w:rsidP="00FB1F6B">
      <w:pPr>
        <w:pStyle w:val="aa"/>
      </w:pPr>
      <w:r w:rsidRPr="005944B6">
        <w:rPr>
          <w:rStyle w:val="ac"/>
          <w:rFonts w:cs="Arial"/>
          <w:szCs w:val="18"/>
        </w:rPr>
        <w:footnoteRef/>
      </w:r>
      <w:r w:rsidRPr="005944B6">
        <w:t xml:space="preserve"> Concluding observations on Canada (CRPD/C/CAN/CO/1), paragraph 20. </w:t>
      </w:r>
    </w:p>
  </w:footnote>
  <w:footnote w:id="170">
    <w:p w:rsidR="00FB1F6B" w:rsidRPr="005944B6" w:rsidRDefault="00FB1F6B" w:rsidP="00FB1F6B">
      <w:pPr>
        <w:pStyle w:val="aa"/>
      </w:pPr>
      <w:r w:rsidRPr="005944B6">
        <w:rPr>
          <w:rStyle w:val="ac"/>
          <w:rFonts w:cs="Arial"/>
          <w:szCs w:val="18"/>
        </w:rPr>
        <w:footnoteRef/>
      </w:r>
      <w:r w:rsidRPr="005944B6">
        <w:t xml:space="preserve"> Concluding observations on Brazil (CRPD/C/BRA/CO/1), paragraph 13.</w:t>
      </w:r>
    </w:p>
  </w:footnote>
  <w:footnote w:id="171">
    <w:p w:rsidR="00FB1F6B" w:rsidRPr="005944B6" w:rsidRDefault="00FB1F6B" w:rsidP="00FB1F6B">
      <w:pPr>
        <w:pStyle w:val="aa"/>
      </w:pPr>
      <w:r w:rsidRPr="005944B6">
        <w:rPr>
          <w:rStyle w:val="ac"/>
          <w:rFonts w:cs="Arial"/>
          <w:szCs w:val="18"/>
        </w:rPr>
        <w:footnoteRef/>
      </w:r>
      <w:r w:rsidRPr="005944B6">
        <w:t xml:space="preserve"> Concluding observations on Australia (CRPD/C/AUS/CO/1), paragraph 12. </w:t>
      </w:r>
    </w:p>
  </w:footnote>
  <w:footnote w:id="172">
    <w:p w:rsidR="00FB1F6B" w:rsidRPr="005944B6" w:rsidRDefault="00FB1F6B" w:rsidP="00FB1F6B">
      <w:pPr>
        <w:pStyle w:val="aa"/>
      </w:pPr>
      <w:r w:rsidRPr="005944B6">
        <w:rPr>
          <w:rStyle w:val="ac"/>
          <w:rFonts w:cs="Arial"/>
          <w:szCs w:val="18"/>
        </w:rPr>
        <w:footnoteRef/>
      </w:r>
      <w:r w:rsidRPr="005944B6">
        <w:t xml:space="preserve"> Concluding observations on Ecuador (CRPD/C/ECU/CO/1), paragraph 53.</w:t>
      </w:r>
    </w:p>
  </w:footnote>
  <w:footnote w:id="173">
    <w:p w:rsidR="00FB1F6B" w:rsidRPr="005944B6" w:rsidRDefault="00FB1F6B" w:rsidP="00FB1F6B">
      <w:pPr>
        <w:pStyle w:val="aa"/>
      </w:pPr>
      <w:r w:rsidRPr="005944B6">
        <w:rPr>
          <w:rStyle w:val="ac"/>
          <w:rFonts w:cs="Arial"/>
          <w:szCs w:val="18"/>
        </w:rPr>
        <w:footnoteRef/>
      </w:r>
      <w:r w:rsidRPr="005944B6">
        <w:t xml:space="preserve"> General Comment No. </w:t>
      </w:r>
      <w:r w:rsidRPr="005944B6">
        <w:rPr>
          <w:color w:val="000000"/>
        </w:rPr>
        <w:t>2, paragraph 29.</w:t>
      </w:r>
    </w:p>
  </w:footnote>
  <w:footnote w:id="174">
    <w:p w:rsidR="00FB1F6B" w:rsidRPr="005944B6" w:rsidRDefault="00FB1F6B" w:rsidP="00FB1F6B">
      <w:pPr>
        <w:pStyle w:val="aa"/>
      </w:pPr>
      <w:r w:rsidRPr="005944B6">
        <w:rPr>
          <w:rStyle w:val="ac"/>
          <w:rFonts w:cs="Arial"/>
          <w:szCs w:val="18"/>
        </w:rPr>
        <w:footnoteRef/>
      </w:r>
      <w:r w:rsidRPr="005944B6">
        <w:t xml:space="preserve"> General Comment No. </w:t>
      </w:r>
      <w:r w:rsidRPr="005944B6">
        <w:rPr>
          <w:color w:val="000000"/>
        </w:rPr>
        <w:t xml:space="preserve">1, paragraph 35. </w:t>
      </w:r>
    </w:p>
  </w:footnote>
  <w:footnote w:id="175">
    <w:p w:rsidR="00FB1F6B" w:rsidRPr="005944B6" w:rsidRDefault="00FB1F6B" w:rsidP="00FB1F6B">
      <w:pPr>
        <w:pStyle w:val="aa"/>
      </w:pPr>
      <w:r w:rsidRPr="005944B6">
        <w:rPr>
          <w:rStyle w:val="ac"/>
          <w:rFonts w:cs="Arial"/>
          <w:szCs w:val="18"/>
        </w:rPr>
        <w:footnoteRef/>
      </w:r>
      <w:r w:rsidRPr="005944B6">
        <w:t xml:space="preserve"> General Comment No</w:t>
      </w:r>
      <w:r>
        <w:t>.</w:t>
      </w:r>
      <w:r w:rsidRPr="005944B6">
        <w:t xml:space="preserve"> 3, paragraph 2. </w:t>
      </w:r>
    </w:p>
  </w:footnote>
  <w:footnote w:id="176">
    <w:p w:rsidR="00FB1F6B" w:rsidRPr="005944B6" w:rsidRDefault="00FB1F6B" w:rsidP="00FB1F6B">
      <w:pPr>
        <w:pStyle w:val="aa"/>
      </w:pPr>
      <w:r w:rsidRPr="005944B6">
        <w:rPr>
          <w:rStyle w:val="ac"/>
          <w:rFonts w:cs="Arial"/>
          <w:szCs w:val="18"/>
        </w:rPr>
        <w:footnoteRef/>
      </w:r>
      <w:r w:rsidRPr="005944B6">
        <w:t xml:space="preserve"> General Comment No.</w:t>
      </w:r>
      <w:r w:rsidRPr="005944B6">
        <w:rPr>
          <w:color w:val="000000"/>
        </w:rPr>
        <w:t xml:space="preserve"> 5, </w:t>
      </w:r>
      <w:r w:rsidRPr="005944B6">
        <w:t>paragraph</w:t>
      </w:r>
      <w:r w:rsidRPr="005944B6">
        <w:rPr>
          <w:color w:val="000000"/>
        </w:rPr>
        <w:t xml:space="preserve"> 72.</w:t>
      </w:r>
    </w:p>
  </w:footnote>
  <w:footnote w:id="177">
    <w:p w:rsidR="00FB1F6B" w:rsidRPr="005944B6" w:rsidRDefault="00FB1F6B" w:rsidP="00FB1F6B">
      <w:pPr>
        <w:pStyle w:val="aa"/>
      </w:pPr>
      <w:r w:rsidRPr="005944B6">
        <w:rPr>
          <w:rStyle w:val="ac"/>
          <w:rFonts w:cs="Arial"/>
          <w:szCs w:val="18"/>
        </w:rPr>
        <w:footnoteRef/>
      </w:r>
      <w:r w:rsidRPr="005944B6">
        <w:t xml:space="preserve"> General Comment No.</w:t>
      </w:r>
      <w:r w:rsidRPr="005944B6">
        <w:rPr>
          <w:color w:val="000000"/>
        </w:rPr>
        <w:t xml:space="preserve"> 5, </w:t>
      </w:r>
      <w:r w:rsidRPr="005944B6">
        <w:t>paragraph</w:t>
      </w:r>
      <w:r w:rsidRPr="005944B6">
        <w:rPr>
          <w:color w:val="000000"/>
        </w:rPr>
        <w:t xml:space="preserve"> 74.</w:t>
      </w:r>
    </w:p>
  </w:footnote>
  <w:footnote w:id="178">
    <w:p w:rsidR="00FB1F6B" w:rsidRPr="005944B6" w:rsidRDefault="00FB1F6B" w:rsidP="00FB1F6B">
      <w:pPr>
        <w:pStyle w:val="aa"/>
      </w:pPr>
      <w:r w:rsidRPr="005944B6">
        <w:rPr>
          <w:rStyle w:val="ac"/>
          <w:rFonts w:cs="Arial"/>
          <w:szCs w:val="18"/>
        </w:rPr>
        <w:footnoteRef/>
      </w:r>
      <w:r w:rsidRPr="005944B6">
        <w:t xml:space="preserve"> General Comment No.</w:t>
      </w:r>
      <w:r w:rsidRPr="005944B6">
        <w:rPr>
          <w:color w:val="000000"/>
        </w:rPr>
        <w:t xml:space="preserve"> 5, </w:t>
      </w:r>
      <w:r w:rsidRPr="005944B6">
        <w:t>paragraph</w:t>
      </w:r>
      <w:r w:rsidRPr="005944B6">
        <w:rPr>
          <w:color w:val="000000"/>
        </w:rPr>
        <w:t xml:space="preserve"> 83. </w:t>
      </w:r>
    </w:p>
  </w:footnote>
  <w:footnote w:id="179">
    <w:p w:rsidR="00FB1F6B" w:rsidRPr="005944B6" w:rsidRDefault="00FB1F6B" w:rsidP="00FB1F6B">
      <w:pPr>
        <w:pStyle w:val="aa"/>
      </w:pPr>
      <w:r w:rsidRPr="005944B6">
        <w:rPr>
          <w:rStyle w:val="ac"/>
          <w:rFonts w:cs="Arial"/>
          <w:szCs w:val="18"/>
        </w:rPr>
        <w:footnoteRef/>
      </w:r>
      <w:r w:rsidRPr="005944B6">
        <w:t xml:space="preserve"> General Comment No. 3, paragraph 4(b). </w:t>
      </w:r>
    </w:p>
  </w:footnote>
  <w:footnote w:id="180">
    <w:p w:rsidR="00FB1F6B" w:rsidRPr="005944B6" w:rsidRDefault="00FB1F6B" w:rsidP="00FB1F6B">
      <w:pPr>
        <w:pStyle w:val="aa"/>
      </w:pPr>
      <w:r w:rsidRPr="005944B6">
        <w:rPr>
          <w:rStyle w:val="ac"/>
          <w:rFonts w:cs="Arial"/>
          <w:szCs w:val="18"/>
        </w:rPr>
        <w:footnoteRef/>
      </w:r>
      <w:r w:rsidRPr="005944B6">
        <w:t xml:space="preserve"> General Comment No. 5, paragraphs 8 and 60; General Comment No. 6, paragraph 34. </w:t>
      </w:r>
    </w:p>
  </w:footnote>
  <w:footnote w:id="181">
    <w:p w:rsidR="00FB1F6B" w:rsidRPr="005944B6" w:rsidRDefault="00FB1F6B" w:rsidP="00FB1F6B">
      <w:pPr>
        <w:pStyle w:val="aa"/>
      </w:pPr>
      <w:r w:rsidRPr="005944B6">
        <w:rPr>
          <w:rStyle w:val="ac"/>
          <w:rFonts w:cs="Arial"/>
          <w:szCs w:val="18"/>
        </w:rPr>
        <w:footnoteRef/>
      </w:r>
      <w:r w:rsidRPr="005944B6">
        <w:t xml:space="preserve"> General Comment No. 6 paragraph 21. </w:t>
      </w:r>
    </w:p>
  </w:footnote>
  <w:footnote w:id="182">
    <w:p w:rsidR="0082286D" w:rsidRPr="005944B6" w:rsidRDefault="0082286D" w:rsidP="0082286D">
      <w:pPr>
        <w:pStyle w:val="aa"/>
      </w:pPr>
      <w:r w:rsidRPr="005944B6">
        <w:rPr>
          <w:rStyle w:val="ac"/>
          <w:rFonts w:cs="Arial"/>
          <w:szCs w:val="18"/>
        </w:rPr>
        <w:footnoteRef/>
      </w:r>
      <w:r w:rsidRPr="005944B6">
        <w:t xml:space="preserve"> General Comment No. 3, paragraph 5. </w:t>
      </w:r>
    </w:p>
  </w:footnote>
  <w:footnote w:id="183">
    <w:p w:rsidR="0082286D" w:rsidRPr="005944B6" w:rsidRDefault="0082286D" w:rsidP="0082286D">
      <w:pPr>
        <w:pStyle w:val="aa"/>
      </w:pPr>
      <w:r w:rsidRPr="005944B6">
        <w:rPr>
          <w:rStyle w:val="ac"/>
          <w:rFonts w:cs="Arial"/>
          <w:szCs w:val="18"/>
        </w:rPr>
        <w:footnoteRef/>
      </w:r>
      <w:r w:rsidRPr="005944B6">
        <w:t xml:space="preserve"> General Comment No. 5, paragraph 72. </w:t>
      </w:r>
    </w:p>
  </w:footnote>
  <w:footnote w:id="184">
    <w:p w:rsidR="0082286D" w:rsidRPr="005944B6" w:rsidRDefault="0082286D" w:rsidP="0082286D">
      <w:pPr>
        <w:pStyle w:val="aa"/>
      </w:pPr>
      <w:r w:rsidRPr="005944B6">
        <w:rPr>
          <w:rStyle w:val="ac"/>
          <w:rFonts w:cs="Arial"/>
          <w:szCs w:val="18"/>
        </w:rPr>
        <w:footnoteRef/>
      </w:r>
      <w:r w:rsidRPr="005944B6">
        <w:t xml:space="preserve"> General Comment No. </w:t>
      </w:r>
      <w:r w:rsidRPr="005944B6">
        <w:rPr>
          <w:color w:val="000000"/>
        </w:rPr>
        <w:t xml:space="preserve">2, paragraph 29. </w:t>
      </w:r>
    </w:p>
  </w:footnote>
  <w:footnote w:id="185">
    <w:p w:rsidR="0082286D" w:rsidRPr="005944B6" w:rsidRDefault="0082286D" w:rsidP="0082286D">
      <w:pPr>
        <w:pStyle w:val="aa"/>
      </w:pPr>
      <w:r w:rsidRPr="005944B6">
        <w:rPr>
          <w:rStyle w:val="ac"/>
          <w:rFonts w:cs="Arial"/>
          <w:szCs w:val="18"/>
        </w:rPr>
        <w:footnoteRef/>
      </w:r>
      <w:r w:rsidRPr="005944B6">
        <w:t xml:space="preserve"> General Comment No. </w:t>
      </w:r>
      <w:r w:rsidRPr="005944B6">
        <w:rPr>
          <w:color w:val="000000"/>
        </w:rPr>
        <w:t xml:space="preserve">2, paragraph 40; </w:t>
      </w:r>
      <w:r w:rsidRPr="005944B6">
        <w:t xml:space="preserve">General Comment No. </w:t>
      </w:r>
      <w:r w:rsidRPr="005944B6">
        <w:rPr>
          <w:color w:val="000000"/>
        </w:rPr>
        <w:t xml:space="preserve">6, paragraph 66. </w:t>
      </w:r>
    </w:p>
  </w:footnote>
  <w:footnote w:id="186">
    <w:p w:rsidR="0082286D" w:rsidRPr="005944B6" w:rsidRDefault="0082286D" w:rsidP="0082286D">
      <w:pPr>
        <w:pStyle w:val="aa"/>
      </w:pPr>
      <w:r w:rsidRPr="005944B6">
        <w:rPr>
          <w:rStyle w:val="ac"/>
          <w:rFonts w:cs="Arial"/>
          <w:szCs w:val="18"/>
        </w:rPr>
        <w:footnoteRef/>
      </w:r>
      <w:r w:rsidRPr="005944B6">
        <w:t xml:space="preserve"> General Comment No. 4, paragraph 46; General Comment No. 5 paragraph 35.</w:t>
      </w:r>
    </w:p>
  </w:footnote>
  <w:footnote w:id="187">
    <w:p w:rsidR="0082286D" w:rsidRPr="005944B6" w:rsidRDefault="0082286D" w:rsidP="0082286D">
      <w:pPr>
        <w:pStyle w:val="aa"/>
      </w:pPr>
      <w:r w:rsidRPr="005944B6">
        <w:rPr>
          <w:rStyle w:val="ac"/>
          <w:rFonts w:cs="Arial"/>
          <w:szCs w:val="18"/>
        </w:rPr>
        <w:footnoteRef/>
      </w:r>
      <w:r w:rsidRPr="005944B6">
        <w:t xml:space="preserve"> General Comment No. 4, paragraph 46. </w:t>
      </w:r>
    </w:p>
  </w:footnote>
  <w:footnote w:id="188">
    <w:p w:rsidR="0082286D" w:rsidRPr="005944B6" w:rsidRDefault="0082286D" w:rsidP="0082286D">
      <w:pPr>
        <w:pStyle w:val="aa"/>
      </w:pPr>
      <w:r w:rsidRPr="005944B6">
        <w:rPr>
          <w:rStyle w:val="ac"/>
          <w:rFonts w:cs="Arial"/>
          <w:szCs w:val="18"/>
        </w:rPr>
        <w:footnoteRef/>
      </w:r>
      <w:r w:rsidRPr="005944B6">
        <w:t xml:space="preserve"> General Comment No. 5, paragraph 23. </w:t>
      </w:r>
    </w:p>
  </w:footnote>
  <w:footnote w:id="189">
    <w:p w:rsidR="0082286D" w:rsidRPr="005944B6" w:rsidRDefault="0082286D" w:rsidP="0082286D">
      <w:pPr>
        <w:pStyle w:val="aa"/>
      </w:pPr>
      <w:r w:rsidRPr="005944B6">
        <w:rPr>
          <w:rStyle w:val="ac"/>
          <w:rFonts w:cs="Arial"/>
          <w:szCs w:val="18"/>
        </w:rPr>
        <w:footnoteRef/>
      </w:r>
      <w:r w:rsidRPr="005944B6">
        <w:t xml:space="preserve"> General Comment No. 5, paragraphs 83 and 86,</w:t>
      </w:r>
    </w:p>
  </w:footnote>
  <w:footnote w:id="190">
    <w:p w:rsidR="0082286D" w:rsidRPr="005944B6" w:rsidRDefault="0082286D" w:rsidP="0082286D">
      <w:pPr>
        <w:pStyle w:val="aa"/>
      </w:pPr>
      <w:r w:rsidRPr="005944B6">
        <w:rPr>
          <w:rStyle w:val="ac"/>
          <w:rFonts w:cs="Arial"/>
          <w:szCs w:val="18"/>
        </w:rPr>
        <w:footnoteRef/>
      </w:r>
      <w:r w:rsidRPr="005944B6">
        <w:t xml:space="preserve"> General Comment No. 3, paragraph 62(a)(iii).</w:t>
      </w:r>
    </w:p>
  </w:footnote>
  <w:footnote w:id="191">
    <w:p w:rsidR="0082286D" w:rsidRPr="005944B6" w:rsidRDefault="0082286D" w:rsidP="0082286D">
      <w:pPr>
        <w:pStyle w:val="aa"/>
        <w:rPr>
          <w:bCs/>
        </w:rPr>
      </w:pPr>
      <w:r w:rsidRPr="005944B6">
        <w:rPr>
          <w:rStyle w:val="ac"/>
          <w:rFonts w:cs="Arial"/>
          <w:szCs w:val="18"/>
        </w:rPr>
        <w:footnoteRef/>
      </w:r>
      <w:r w:rsidRPr="005944B6">
        <w:t xml:space="preserve"> Statement of the CRPD Committee “Achieving gender balance and equitable geographical representation in the elections of members of the Committee”, a</w:t>
      </w:r>
      <w:r w:rsidRPr="005944B6">
        <w:rPr>
          <w:bCs/>
        </w:rPr>
        <w:t xml:space="preserve">dopted during the Committee’s seventeenth session (20 March-12 April 2017). </w:t>
      </w:r>
    </w:p>
  </w:footnote>
  <w:footnote w:id="192">
    <w:p w:rsidR="0082286D" w:rsidRPr="005944B6" w:rsidRDefault="0082286D" w:rsidP="0082286D">
      <w:pPr>
        <w:pStyle w:val="aa"/>
      </w:pPr>
      <w:r w:rsidRPr="005944B6">
        <w:rPr>
          <w:rStyle w:val="ac"/>
          <w:rFonts w:cs="Arial"/>
          <w:szCs w:val="18"/>
        </w:rPr>
        <w:footnoteRef/>
      </w:r>
      <w:r w:rsidRPr="005944B6">
        <w:t xml:space="preserve"> General Comment No. 2, paragraph 42. </w:t>
      </w:r>
    </w:p>
  </w:footnote>
  <w:footnote w:id="193">
    <w:p w:rsidR="0082286D" w:rsidRPr="005944B6" w:rsidRDefault="0082286D" w:rsidP="0082286D">
      <w:pPr>
        <w:pStyle w:val="aa"/>
      </w:pPr>
      <w:r w:rsidRPr="005944B6">
        <w:rPr>
          <w:rStyle w:val="ac"/>
          <w:rFonts w:cs="Arial"/>
          <w:szCs w:val="18"/>
        </w:rPr>
        <w:footnoteRef/>
      </w:r>
      <w:r w:rsidRPr="005944B6">
        <w:t xml:space="preserve"> General Comment No. 6, paragraph 92. </w:t>
      </w:r>
    </w:p>
  </w:footnote>
  <w:footnote w:id="194">
    <w:p w:rsidR="0082286D" w:rsidRPr="005944B6" w:rsidRDefault="0082286D" w:rsidP="0082286D">
      <w:pPr>
        <w:pStyle w:val="aa"/>
      </w:pPr>
      <w:r w:rsidRPr="005944B6">
        <w:rPr>
          <w:rStyle w:val="ac"/>
          <w:rFonts w:cs="Arial"/>
          <w:szCs w:val="18"/>
        </w:rPr>
        <w:footnoteRef/>
      </w:r>
      <w:r w:rsidRPr="005944B6">
        <w:t xml:space="preserve"> General Comment No. 6, paragraph 92.</w:t>
      </w:r>
    </w:p>
  </w:footnote>
  <w:footnote w:id="195">
    <w:p w:rsidR="0082286D" w:rsidRPr="005944B6" w:rsidRDefault="0082286D" w:rsidP="0082286D">
      <w:pPr>
        <w:pStyle w:val="aa"/>
      </w:pPr>
      <w:r w:rsidRPr="005944B6">
        <w:rPr>
          <w:rStyle w:val="ac"/>
          <w:rFonts w:cs="Arial"/>
          <w:szCs w:val="18"/>
        </w:rPr>
        <w:footnoteRef/>
      </w:r>
      <w:r w:rsidRPr="005944B6">
        <w:t xml:space="preserve"> Inquiry concerning the United Kingdom of Great Britain and Northern Ireland carried out by the Committee under article 6 of the Optional Protocol to the Convention (CRPD/C/15/4</w:t>
      </w:r>
      <w:r w:rsidRPr="005944B6">
        <w:rPr>
          <w:vertAlign w:val="superscript"/>
        </w:rPr>
        <w:t>*</w:t>
      </w:r>
      <w:r w:rsidRPr="005944B6">
        <w:t xml:space="preserve">). </w:t>
      </w:r>
    </w:p>
  </w:footnote>
  <w:footnote w:id="196">
    <w:p w:rsidR="0082286D" w:rsidRPr="005944B6" w:rsidRDefault="0082286D" w:rsidP="0082286D">
      <w:pPr>
        <w:pStyle w:val="aa"/>
      </w:pPr>
      <w:r w:rsidRPr="005944B6">
        <w:rPr>
          <w:rStyle w:val="ac"/>
          <w:rFonts w:cs="Arial"/>
          <w:szCs w:val="18"/>
        </w:rPr>
        <w:footnoteRef/>
      </w:r>
      <w:r w:rsidRPr="005944B6">
        <w:t xml:space="preserve"> Inquiry concerning the United Kingdom, paragraph 33.</w:t>
      </w:r>
    </w:p>
  </w:footnote>
  <w:footnote w:id="197">
    <w:p w:rsidR="0082286D" w:rsidRPr="005944B6" w:rsidRDefault="0082286D" w:rsidP="0082286D">
      <w:pPr>
        <w:pStyle w:val="aa"/>
      </w:pPr>
      <w:r w:rsidRPr="005944B6">
        <w:rPr>
          <w:rStyle w:val="ac"/>
          <w:rFonts w:cs="Arial"/>
          <w:szCs w:val="18"/>
        </w:rPr>
        <w:footnoteRef/>
      </w:r>
      <w:r w:rsidRPr="005944B6">
        <w:t xml:space="preserve"> Inquiry concerning the United Kingdom, paragraph 36. </w:t>
      </w:r>
    </w:p>
  </w:footnote>
  <w:footnote w:id="198">
    <w:p w:rsidR="0082286D" w:rsidRPr="005944B6" w:rsidRDefault="0082286D" w:rsidP="0082286D">
      <w:pPr>
        <w:pStyle w:val="aa"/>
      </w:pPr>
      <w:r w:rsidRPr="005944B6">
        <w:rPr>
          <w:rStyle w:val="ac"/>
          <w:rFonts w:cs="Arial"/>
          <w:szCs w:val="18"/>
        </w:rPr>
        <w:footnoteRef/>
      </w:r>
      <w:r w:rsidRPr="005944B6">
        <w:t xml:space="preserve"> Inquiry concerning the United Kingdom, paragraph 42. </w:t>
      </w:r>
    </w:p>
  </w:footnote>
  <w:footnote w:id="199">
    <w:p w:rsidR="0082286D" w:rsidRPr="005944B6" w:rsidRDefault="0082286D" w:rsidP="0082286D">
      <w:pPr>
        <w:pStyle w:val="aa"/>
      </w:pPr>
      <w:r w:rsidRPr="005944B6">
        <w:rPr>
          <w:rStyle w:val="ac"/>
          <w:rFonts w:cs="Arial"/>
          <w:szCs w:val="18"/>
        </w:rPr>
        <w:footnoteRef/>
      </w:r>
      <w:r w:rsidRPr="005944B6">
        <w:t xml:space="preserve"> Inquiry concerning the United Kingdom, paragraph 114. </w:t>
      </w:r>
    </w:p>
  </w:footnote>
  <w:footnote w:id="200">
    <w:p w:rsidR="0082286D" w:rsidRPr="005944B6" w:rsidRDefault="0082286D" w:rsidP="0082286D">
      <w:pPr>
        <w:pStyle w:val="aa"/>
      </w:pPr>
      <w:r w:rsidRPr="005944B6">
        <w:rPr>
          <w:rStyle w:val="ac"/>
          <w:rFonts w:cs="Arial"/>
          <w:szCs w:val="18"/>
        </w:rPr>
        <w:footnoteRef/>
      </w:r>
      <w:r w:rsidRPr="005944B6">
        <w:t xml:space="preserve"> Concluding observations on China (Hong Kong) (CRPD/C/CHN/CO/1), paragraph 80. </w:t>
      </w:r>
    </w:p>
  </w:footnote>
  <w:footnote w:id="201">
    <w:p w:rsidR="0082286D" w:rsidRPr="005944B6" w:rsidRDefault="0082286D" w:rsidP="0082286D">
      <w:pPr>
        <w:pStyle w:val="aa"/>
      </w:pPr>
      <w:r w:rsidRPr="005944B6">
        <w:rPr>
          <w:rStyle w:val="ac"/>
          <w:rFonts w:cs="Arial"/>
          <w:szCs w:val="18"/>
        </w:rPr>
        <w:footnoteRef/>
      </w:r>
      <w:r w:rsidRPr="005944B6">
        <w:t xml:space="preserve"> Concluding observations</w:t>
      </w:r>
      <w:r>
        <w:t xml:space="preserve"> </w:t>
      </w:r>
      <w:r w:rsidRPr="005944B6">
        <w:t xml:space="preserve">on Bosnia and Herzegovina (CRPD/C/HIH/CO/1), paragraph 51. </w:t>
      </w:r>
    </w:p>
  </w:footnote>
  <w:footnote w:id="202">
    <w:p w:rsidR="00C433F7" w:rsidRPr="005944B6" w:rsidRDefault="00C433F7" w:rsidP="00C433F7">
      <w:pPr>
        <w:pStyle w:val="aa"/>
      </w:pPr>
      <w:r w:rsidRPr="005944B6">
        <w:rPr>
          <w:rStyle w:val="ac"/>
          <w:rFonts w:cs="Arial"/>
          <w:szCs w:val="18"/>
        </w:rPr>
        <w:footnoteRef/>
      </w:r>
      <w:r w:rsidRPr="005944B6">
        <w:t xml:space="preserve"> All general comments, except General Comment No. 4 on inclusive education. </w:t>
      </w:r>
    </w:p>
  </w:footnote>
  <w:footnote w:id="203">
    <w:p w:rsidR="00C433F7" w:rsidRPr="005944B6" w:rsidRDefault="00C433F7" w:rsidP="00C433F7">
      <w:pPr>
        <w:pStyle w:val="aa"/>
      </w:pPr>
      <w:r w:rsidRPr="005944B6">
        <w:rPr>
          <w:rStyle w:val="ac"/>
          <w:rFonts w:cs="Arial"/>
          <w:szCs w:val="18"/>
        </w:rPr>
        <w:footnoteRef/>
      </w:r>
      <w:r w:rsidRPr="005944B6">
        <w:t xml:space="preserve"> </w:t>
      </w:r>
      <w:r w:rsidRPr="005944B6">
        <w:rPr>
          <w:i/>
        </w:rPr>
        <w:t>A.M. v. Australia</w:t>
      </w:r>
      <w:r w:rsidRPr="005944B6">
        <w:t xml:space="preserve"> (CRPD/C/13/D/12/2013)</w:t>
      </w:r>
      <w:r>
        <w:t>,</w:t>
      </w:r>
      <w:r w:rsidRPr="005944B6">
        <w:t xml:space="preserve"> </w:t>
      </w:r>
      <w:r w:rsidRPr="005944B6">
        <w:rPr>
          <w:i/>
        </w:rPr>
        <w:t>Beasley v. Australia</w:t>
      </w:r>
      <w:r w:rsidRPr="005944B6">
        <w:t xml:space="preserve"> (CRPD/C/15/D/11/2013)</w:t>
      </w:r>
      <w:r>
        <w:t>,</w:t>
      </w:r>
      <w:r w:rsidRPr="005944B6">
        <w:t xml:space="preserve"> </w:t>
      </w:r>
      <w:r w:rsidRPr="005944B6">
        <w:rPr>
          <w:i/>
        </w:rPr>
        <w:t>Lockrey v. Australia</w:t>
      </w:r>
      <w:r w:rsidRPr="005944B6">
        <w:t xml:space="preserve"> (CRPD/C/15/D/13/2013)</w:t>
      </w:r>
      <w:r>
        <w:t>,</w:t>
      </w:r>
      <w:r w:rsidRPr="005944B6">
        <w:t xml:space="preserve"> </w:t>
      </w:r>
      <w:r w:rsidRPr="005944B6">
        <w:rPr>
          <w:i/>
        </w:rPr>
        <w:t>Noble v. Australia</w:t>
      </w:r>
      <w:r w:rsidRPr="005944B6">
        <w:t xml:space="preserve"> (CRPD/C/16/D/7/2012)</w:t>
      </w:r>
      <w:r>
        <w:rPr>
          <w:lang w:val="es-ES"/>
        </w:rPr>
        <w:t>,</w:t>
      </w:r>
      <w:r w:rsidRPr="005944B6">
        <w:rPr>
          <w:lang w:val="es-ES"/>
        </w:rPr>
        <w:t xml:space="preserve"> </w:t>
      </w:r>
      <w:r w:rsidRPr="005944B6">
        <w:rPr>
          <w:i/>
          <w:lang w:val="es-ES"/>
        </w:rPr>
        <w:t>X. v. Tanzania</w:t>
      </w:r>
      <w:r w:rsidRPr="005944B6">
        <w:rPr>
          <w:lang w:val="es-ES"/>
        </w:rPr>
        <w:t xml:space="preserve"> (CRPD/C/18/D/22/2014)</w:t>
      </w:r>
      <w:r>
        <w:rPr>
          <w:bCs/>
        </w:rPr>
        <w:t>,</w:t>
      </w:r>
      <w:r w:rsidRPr="005944B6">
        <w:rPr>
          <w:bCs/>
        </w:rPr>
        <w:t xml:space="preserve"> </w:t>
      </w:r>
      <w:r w:rsidRPr="005944B6">
        <w:rPr>
          <w:bCs/>
          <w:i/>
        </w:rPr>
        <w:t>Makarov v Lithuania</w:t>
      </w:r>
      <w:r w:rsidRPr="005944B6">
        <w:rPr>
          <w:bCs/>
        </w:rPr>
        <w:t xml:space="preserve"> (CRPD/C/18/D/30/2015).</w:t>
      </w:r>
    </w:p>
  </w:footnote>
  <w:footnote w:id="204">
    <w:p w:rsidR="00C433F7" w:rsidRPr="005944B6" w:rsidRDefault="00C433F7" w:rsidP="00C433F7">
      <w:pPr>
        <w:pStyle w:val="aa"/>
      </w:pPr>
      <w:r w:rsidRPr="005944B6">
        <w:rPr>
          <w:rStyle w:val="ac"/>
          <w:rFonts w:cs="Arial"/>
          <w:szCs w:val="18"/>
        </w:rPr>
        <w:footnoteRef/>
      </w:r>
      <w:r w:rsidRPr="005944B6">
        <w:t xml:space="preserve"> General Comment No. 2, paragraph 37. </w:t>
      </w:r>
    </w:p>
  </w:footnote>
  <w:footnote w:id="205">
    <w:p w:rsidR="00C433F7" w:rsidRPr="005944B6" w:rsidRDefault="00C433F7" w:rsidP="00C433F7">
      <w:pPr>
        <w:pStyle w:val="aa"/>
      </w:pPr>
      <w:r w:rsidRPr="005944B6">
        <w:rPr>
          <w:rStyle w:val="ac"/>
          <w:rFonts w:cs="Arial"/>
          <w:szCs w:val="18"/>
        </w:rPr>
        <w:footnoteRef/>
      </w:r>
      <w:r w:rsidRPr="005944B6">
        <w:t xml:space="preserve"> General Comment No. 1, paragraph 38.</w:t>
      </w:r>
      <w:r>
        <w:t xml:space="preserve"> </w:t>
      </w:r>
    </w:p>
  </w:footnote>
  <w:footnote w:id="206">
    <w:p w:rsidR="00C433F7" w:rsidRPr="005944B6" w:rsidRDefault="00C433F7" w:rsidP="00C433F7">
      <w:pPr>
        <w:pStyle w:val="aa"/>
      </w:pPr>
      <w:r w:rsidRPr="005944B6">
        <w:rPr>
          <w:rStyle w:val="ac"/>
          <w:rFonts w:cs="Arial"/>
          <w:szCs w:val="18"/>
        </w:rPr>
        <w:footnoteRef/>
      </w:r>
      <w:r w:rsidRPr="005944B6">
        <w:t xml:space="preserve"> General Comment No. 1, paragraph 38.</w:t>
      </w:r>
      <w:r>
        <w:t xml:space="preserve"> </w:t>
      </w:r>
    </w:p>
  </w:footnote>
  <w:footnote w:id="207">
    <w:p w:rsidR="00C433F7" w:rsidRPr="005944B6" w:rsidRDefault="00C433F7" w:rsidP="00C433F7">
      <w:pPr>
        <w:pStyle w:val="aa"/>
      </w:pPr>
      <w:r w:rsidRPr="005944B6">
        <w:rPr>
          <w:rStyle w:val="ac"/>
          <w:rFonts w:cs="Arial"/>
          <w:szCs w:val="18"/>
        </w:rPr>
        <w:footnoteRef/>
      </w:r>
      <w:r w:rsidRPr="005944B6">
        <w:t xml:space="preserve"> See General Comment No. 1, paragraph 39. In addition, General Comment No. 3, paragraph 52 notes that women with disabilities face barriers to accessing justice which can lead to their credibility being doubted and their accusations being dismissed.</w:t>
      </w:r>
    </w:p>
  </w:footnote>
  <w:footnote w:id="208">
    <w:p w:rsidR="00C433F7" w:rsidRPr="005944B6" w:rsidRDefault="00C433F7" w:rsidP="00C433F7">
      <w:pPr>
        <w:pStyle w:val="aa"/>
      </w:pPr>
      <w:r w:rsidRPr="005944B6">
        <w:rPr>
          <w:rStyle w:val="ac"/>
          <w:rFonts w:cs="Arial"/>
          <w:szCs w:val="18"/>
        </w:rPr>
        <w:footnoteRef/>
      </w:r>
      <w:r w:rsidRPr="005944B6">
        <w:t xml:space="preserve"> </w:t>
      </w:r>
      <w:r w:rsidRPr="005944B6">
        <w:rPr>
          <w:i/>
        </w:rPr>
        <w:t xml:space="preserve">Noble v. Australia </w:t>
      </w:r>
      <w:r w:rsidRPr="005944B6">
        <w:t>(CRPD/C/16/D/7/2012).</w:t>
      </w:r>
    </w:p>
  </w:footnote>
  <w:footnote w:id="209">
    <w:p w:rsidR="00C433F7" w:rsidRPr="005944B6" w:rsidRDefault="00C433F7" w:rsidP="00C433F7">
      <w:pPr>
        <w:pStyle w:val="aa"/>
      </w:pPr>
      <w:r w:rsidRPr="005944B6">
        <w:rPr>
          <w:rStyle w:val="ac"/>
          <w:rFonts w:cs="Arial"/>
          <w:szCs w:val="18"/>
        </w:rPr>
        <w:footnoteRef/>
      </w:r>
      <w:r w:rsidRPr="005944B6">
        <w:t xml:space="preserve"> Also called “procedural adjustments” in some older concluding observations. See for instance concluding observations on Panama (CRPD/C/PAN/CO/1), paragraph 33. </w:t>
      </w:r>
    </w:p>
  </w:footnote>
  <w:footnote w:id="210">
    <w:p w:rsidR="00C433F7" w:rsidRPr="005944B6" w:rsidRDefault="00C433F7" w:rsidP="00C433F7">
      <w:pPr>
        <w:pStyle w:val="aa"/>
      </w:pPr>
      <w:r w:rsidRPr="005944B6">
        <w:rPr>
          <w:rStyle w:val="ac"/>
          <w:rFonts w:cs="Arial"/>
          <w:szCs w:val="18"/>
        </w:rPr>
        <w:footnoteRef/>
      </w:r>
      <w:r w:rsidRPr="005944B6">
        <w:t xml:space="preserve"> General Comment No. 6, paragraph 51.</w:t>
      </w:r>
    </w:p>
  </w:footnote>
  <w:footnote w:id="211">
    <w:p w:rsidR="00C433F7" w:rsidRPr="005944B6" w:rsidRDefault="00C433F7" w:rsidP="00C433F7">
      <w:pPr>
        <w:pStyle w:val="aa"/>
      </w:pPr>
      <w:r w:rsidRPr="005944B6">
        <w:rPr>
          <w:rStyle w:val="ac"/>
          <w:rFonts w:cs="Arial"/>
          <w:szCs w:val="18"/>
        </w:rPr>
        <w:footnoteRef/>
      </w:r>
      <w:r w:rsidRPr="005944B6">
        <w:t xml:space="preserve"> Concluding observations on Costa Rica (CRPD/C/CRI/CO/1), paragraphs 26 and 28. </w:t>
      </w:r>
    </w:p>
  </w:footnote>
  <w:footnote w:id="212">
    <w:p w:rsidR="00C433F7" w:rsidRPr="005944B6" w:rsidRDefault="00C433F7" w:rsidP="00C433F7">
      <w:pPr>
        <w:pStyle w:val="aa"/>
      </w:pPr>
      <w:r w:rsidRPr="005944B6">
        <w:rPr>
          <w:rStyle w:val="ac"/>
          <w:rFonts w:cs="Arial"/>
          <w:szCs w:val="18"/>
        </w:rPr>
        <w:footnoteRef/>
      </w:r>
      <w:r w:rsidRPr="005944B6">
        <w:t xml:space="preserve"> General Comment No. 1, paragraph 39. </w:t>
      </w:r>
    </w:p>
  </w:footnote>
  <w:footnote w:id="213">
    <w:p w:rsidR="00C433F7" w:rsidRPr="005944B6" w:rsidRDefault="00C433F7" w:rsidP="00C433F7">
      <w:pPr>
        <w:pStyle w:val="aa"/>
      </w:pPr>
      <w:r w:rsidRPr="005944B6">
        <w:rPr>
          <w:rStyle w:val="ac"/>
          <w:rFonts w:cs="Arial"/>
          <w:szCs w:val="18"/>
        </w:rPr>
        <w:footnoteRef/>
      </w:r>
      <w:r w:rsidRPr="005944B6">
        <w:t xml:space="preserve"> </w:t>
      </w:r>
      <w:r w:rsidRPr="005944B6">
        <w:rPr>
          <w:i/>
        </w:rPr>
        <w:t xml:space="preserve">Beasley v. Australia </w:t>
      </w:r>
      <w:r w:rsidRPr="005944B6">
        <w:t>(CRPD/C/15/D/11/2013).</w:t>
      </w:r>
    </w:p>
  </w:footnote>
  <w:footnote w:id="214">
    <w:p w:rsidR="00C433F7" w:rsidRPr="005944B6" w:rsidRDefault="00C433F7" w:rsidP="00C433F7">
      <w:pPr>
        <w:pStyle w:val="aa"/>
      </w:pPr>
      <w:r w:rsidRPr="005944B6">
        <w:rPr>
          <w:rStyle w:val="ac"/>
          <w:rFonts w:cs="Arial"/>
          <w:szCs w:val="18"/>
        </w:rPr>
        <w:footnoteRef/>
      </w:r>
      <w:r w:rsidRPr="005944B6">
        <w:t xml:space="preserve"> </w:t>
      </w:r>
      <w:r w:rsidRPr="005944B6">
        <w:rPr>
          <w:i/>
        </w:rPr>
        <w:t>Lockrey v. Australia</w:t>
      </w:r>
      <w:r w:rsidRPr="005944B6">
        <w:t xml:space="preserve"> (CRPD/C/15/D/13/2013). </w:t>
      </w:r>
    </w:p>
  </w:footnote>
  <w:footnote w:id="215">
    <w:p w:rsidR="00C433F7" w:rsidRPr="005944B6" w:rsidRDefault="00C433F7" w:rsidP="00C433F7">
      <w:pPr>
        <w:pStyle w:val="aa"/>
      </w:pPr>
      <w:r w:rsidRPr="005944B6">
        <w:rPr>
          <w:rStyle w:val="ac"/>
          <w:rFonts w:cs="Arial"/>
          <w:szCs w:val="18"/>
        </w:rPr>
        <w:footnoteRef/>
      </w:r>
      <w:r w:rsidRPr="005944B6">
        <w:t xml:space="preserve"> Guidelines on the right to liberty and security of persons with disabilities (A/7255 Annex), paragraph 3. </w:t>
      </w:r>
    </w:p>
  </w:footnote>
  <w:footnote w:id="216">
    <w:p w:rsidR="00C433F7" w:rsidRPr="005944B6" w:rsidRDefault="00C433F7" w:rsidP="00C433F7">
      <w:pPr>
        <w:pStyle w:val="aa"/>
      </w:pPr>
      <w:r w:rsidRPr="005944B6">
        <w:rPr>
          <w:rStyle w:val="ac"/>
          <w:rFonts w:cs="Arial"/>
          <w:szCs w:val="18"/>
        </w:rPr>
        <w:footnoteRef/>
      </w:r>
      <w:r w:rsidRPr="005944B6">
        <w:t xml:space="preserve"> Guidelines on the right to liberty and security of persons with disabilities, paragraphs 6-9.</w:t>
      </w:r>
    </w:p>
  </w:footnote>
  <w:footnote w:id="217">
    <w:p w:rsidR="00C433F7" w:rsidRPr="005944B6" w:rsidRDefault="00C433F7" w:rsidP="00C433F7">
      <w:pPr>
        <w:pStyle w:val="aa"/>
      </w:pPr>
      <w:r w:rsidRPr="005944B6">
        <w:rPr>
          <w:rStyle w:val="ac"/>
          <w:rFonts w:cs="Arial"/>
          <w:szCs w:val="18"/>
        </w:rPr>
        <w:footnoteRef/>
      </w:r>
      <w:r w:rsidRPr="005944B6">
        <w:t xml:space="preserve"> Guidelines on the right to liberty and security of persons with disabilities, paragraph 16.</w:t>
      </w:r>
    </w:p>
  </w:footnote>
  <w:footnote w:id="218">
    <w:p w:rsidR="00C433F7" w:rsidRPr="005944B6" w:rsidRDefault="00C433F7" w:rsidP="00C433F7">
      <w:pPr>
        <w:pStyle w:val="aa"/>
      </w:pPr>
      <w:r w:rsidRPr="005944B6">
        <w:rPr>
          <w:rStyle w:val="ac"/>
          <w:rFonts w:cs="Arial"/>
          <w:szCs w:val="18"/>
        </w:rPr>
        <w:footnoteRef/>
      </w:r>
      <w:r w:rsidRPr="005944B6">
        <w:t xml:space="preserve"> Guidelines on the right to liberty and security of persons with disabilities, paragraph 17.</w:t>
      </w:r>
    </w:p>
  </w:footnote>
  <w:footnote w:id="219">
    <w:p w:rsidR="00C433F7" w:rsidRPr="005944B6" w:rsidRDefault="00C433F7" w:rsidP="00C433F7">
      <w:pPr>
        <w:pStyle w:val="aa"/>
      </w:pPr>
      <w:r w:rsidRPr="005944B6">
        <w:rPr>
          <w:rStyle w:val="ac"/>
          <w:rFonts w:cs="Arial"/>
          <w:szCs w:val="18"/>
        </w:rPr>
        <w:footnoteRef/>
      </w:r>
      <w:r w:rsidRPr="005944B6">
        <w:t xml:space="preserve"> Guidelines on the right to liberty and security of persons with disabilities, paragraph 19.</w:t>
      </w:r>
    </w:p>
  </w:footnote>
  <w:footnote w:id="220">
    <w:p w:rsidR="009935D0" w:rsidRPr="005944B6" w:rsidRDefault="009935D0" w:rsidP="009935D0">
      <w:pPr>
        <w:pStyle w:val="aa"/>
      </w:pPr>
      <w:r w:rsidRPr="005944B6">
        <w:rPr>
          <w:rStyle w:val="ac"/>
          <w:rFonts w:cs="Arial"/>
          <w:szCs w:val="18"/>
        </w:rPr>
        <w:footnoteRef/>
      </w:r>
      <w:r w:rsidRPr="005944B6">
        <w:t xml:space="preserve"> Guidelines on the right to liberty and security of persons with disabilities, paragraph 9. </w:t>
      </w:r>
    </w:p>
  </w:footnote>
  <w:footnote w:id="221">
    <w:p w:rsidR="009935D0" w:rsidRPr="005944B6" w:rsidRDefault="009935D0" w:rsidP="009935D0">
      <w:pPr>
        <w:pStyle w:val="aa"/>
      </w:pPr>
      <w:r w:rsidRPr="005944B6">
        <w:rPr>
          <w:rStyle w:val="ac"/>
          <w:rFonts w:cs="Arial"/>
          <w:szCs w:val="18"/>
        </w:rPr>
        <w:footnoteRef/>
      </w:r>
      <w:r w:rsidRPr="005944B6">
        <w:t xml:space="preserve"> General Comment No. 5, paragraph 16. </w:t>
      </w:r>
    </w:p>
  </w:footnote>
  <w:footnote w:id="222">
    <w:p w:rsidR="009935D0" w:rsidRPr="005944B6" w:rsidRDefault="009935D0" w:rsidP="009935D0">
      <w:pPr>
        <w:pStyle w:val="aa"/>
      </w:pPr>
      <w:r w:rsidRPr="005944B6">
        <w:rPr>
          <w:rStyle w:val="ac"/>
          <w:rFonts w:cs="Arial"/>
          <w:szCs w:val="18"/>
        </w:rPr>
        <w:footnoteRef/>
      </w:r>
      <w:r w:rsidRPr="005944B6">
        <w:t xml:space="preserve"> General Comment No. 5, paragraph 33. </w:t>
      </w:r>
    </w:p>
  </w:footnote>
  <w:footnote w:id="223">
    <w:p w:rsidR="009935D0" w:rsidRPr="005944B6" w:rsidRDefault="009935D0" w:rsidP="009935D0">
      <w:pPr>
        <w:pStyle w:val="aa"/>
      </w:pPr>
      <w:r w:rsidRPr="005944B6">
        <w:rPr>
          <w:rStyle w:val="ac"/>
          <w:rFonts w:cs="Arial"/>
          <w:szCs w:val="18"/>
        </w:rPr>
        <w:footnoteRef/>
      </w:r>
      <w:r w:rsidRPr="005944B6">
        <w:t xml:space="preserve"> General Comment No. 1, paragraph 1. </w:t>
      </w:r>
    </w:p>
  </w:footnote>
  <w:footnote w:id="224">
    <w:p w:rsidR="009935D0" w:rsidRPr="005944B6" w:rsidRDefault="009935D0" w:rsidP="009935D0">
      <w:pPr>
        <w:pStyle w:val="aa"/>
      </w:pPr>
      <w:r w:rsidRPr="005944B6">
        <w:rPr>
          <w:rStyle w:val="ac"/>
          <w:rFonts w:cs="Arial"/>
          <w:szCs w:val="18"/>
        </w:rPr>
        <w:footnoteRef/>
      </w:r>
      <w:r w:rsidRPr="005944B6">
        <w:t xml:space="preserve"> General Comment No</w:t>
      </w:r>
      <w:r>
        <w:t>.</w:t>
      </w:r>
      <w:r w:rsidRPr="005944B6">
        <w:t xml:space="preserve"> 1, paragraph 30.</w:t>
      </w:r>
    </w:p>
  </w:footnote>
  <w:footnote w:id="225">
    <w:p w:rsidR="009935D0" w:rsidRPr="005944B6" w:rsidRDefault="009935D0" w:rsidP="009935D0">
      <w:pPr>
        <w:pStyle w:val="aa"/>
      </w:pPr>
      <w:r w:rsidRPr="005944B6">
        <w:rPr>
          <w:rStyle w:val="ac"/>
          <w:rFonts w:cs="Arial"/>
          <w:szCs w:val="18"/>
        </w:rPr>
        <w:footnoteRef/>
      </w:r>
      <w:r w:rsidRPr="005944B6">
        <w:t xml:space="preserve"> General Comment No. 1, paragraph 7.</w:t>
      </w:r>
    </w:p>
  </w:footnote>
  <w:footnote w:id="226">
    <w:p w:rsidR="009935D0" w:rsidRPr="005944B6" w:rsidRDefault="009935D0" w:rsidP="009935D0">
      <w:pPr>
        <w:pStyle w:val="aa"/>
      </w:pPr>
      <w:r w:rsidRPr="005944B6">
        <w:rPr>
          <w:rStyle w:val="ac"/>
          <w:rFonts w:cs="Arial"/>
          <w:szCs w:val="18"/>
        </w:rPr>
        <w:footnoteRef/>
      </w:r>
      <w:r w:rsidRPr="005944B6">
        <w:t xml:space="preserve"> General Comment No. 1, paragraphs 8 and 31.</w:t>
      </w:r>
    </w:p>
  </w:footnote>
  <w:footnote w:id="227">
    <w:p w:rsidR="009935D0" w:rsidRPr="005944B6" w:rsidRDefault="009935D0" w:rsidP="009935D0">
      <w:pPr>
        <w:pStyle w:val="aa"/>
      </w:pPr>
      <w:r w:rsidRPr="005944B6">
        <w:rPr>
          <w:rStyle w:val="ac"/>
          <w:rFonts w:cs="Arial"/>
          <w:szCs w:val="18"/>
        </w:rPr>
        <w:footnoteRef/>
      </w:r>
      <w:r w:rsidRPr="005944B6">
        <w:t xml:space="preserve"> The Committee describes different form</w:t>
      </w:r>
      <w:r>
        <w:t>s</w:t>
      </w:r>
      <w:r w:rsidRPr="005944B6">
        <w:t xml:space="preserve"> of substitute decision-making regimes in paragraph 27 of General Comment No. 1. </w:t>
      </w:r>
    </w:p>
  </w:footnote>
  <w:footnote w:id="228">
    <w:p w:rsidR="009935D0" w:rsidRPr="005944B6" w:rsidRDefault="009935D0" w:rsidP="009935D0">
      <w:pPr>
        <w:pStyle w:val="aa"/>
      </w:pPr>
      <w:r w:rsidRPr="005944B6">
        <w:rPr>
          <w:rStyle w:val="ac"/>
          <w:rFonts w:cs="Arial"/>
          <w:szCs w:val="18"/>
        </w:rPr>
        <w:footnoteRef/>
      </w:r>
      <w:r w:rsidRPr="005944B6">
        <w:t xml:space="preserve"> General Comment No. 1, paragraph 3</w:t>
      </w:r>
      <w:r>
        <w:t>. The Committee provides detailed</w:t>
      </w:r>
      <w:r w:rsidRPr="005944B6">
        <w:t xml:space="preserve"> information on the key provisions supported decision-making regimes should contain in paragraph 29 of the General Comment. </w:t>
      </w:r>
    </w:p>
  </w:footnote>
  <w:footnote w:id="229">
    <w:p w:rsidR="009935D0" w:rsidRPr="005944B6" w:rsidRDefault="009935D0" w:rsidP="009935D0">
      <w:pPr>
        <w:pStyle w:val="aa"/>
      </w:pPr>
      <w:r w:rsidRPr="005944B6">
        <w:rPr>
          <w:rStyle w:val="ac"/>
          <w:rFonts w:cs="Arial"/>
          <w:szCs w:val="18"/>
        </w:rPr>
        <w:footnoteRef/>
      </w:r>
      <w:r w:rsidRPr="005944B6">
        <w:t xml:space="preserve"> See for instance the very first concluding </w:t>
      </w:r>
      <w:r>
        <w:t>observations of the Committee: c</w:t>
      </w:r>
      <w:r w:rsidRPr="005944B6">
        <w:t>oncluding observations on Tunisia (CRPD/C/TUN/CO/1), paragraph 23.</w:t>
      </w:r>
    </w:p>
  </w:footnote>
  <w:footnote w:id="230">
    <w:p w:rsidR="009935D0" w:rsidRPr="005944B6" w:rsidRDefault="009935D0" w:rsidP="009935D0">
      <w:pPr>
        <w:pStyle w:val="aa"/>
      </w:pPr>
      <w:r w:rsidRPr="005944B6">
        <w:rPr>
          <w:rStyle w:val="ac"/>
          <w:rFonts w:cs="Arial"/>
          <w:szCs w:val="18"/>
        </w:rPr>
        <w:footnoteRef/>
      </w:r>
      <w:r w:rsidRPr="005944B6">
        <w:t xml:space="preserve"> General Comment No. 1, paragraph 16.</w:t>
      </w:r>
    </w:p>
  </w:footnote>
  <w:footnote w:id="231">
    <w:p w:rsidR="009935D0" w:rsidRPr="005944B6" w:rsidRDefault="009935D0" w:rsidP="009935D0">
      <w:pPr>
        <w:pStyle w:val="aa"/>
      </w:pPr>
      <w:r w:rsidRPr="005944B6">
        <w:rPr>
          <w:rStyle w:val="ac"/>
          <w:rFonts w:cs="Arial"/>
          <w:szCs w:val="18"/>
        </w:rPr>
        <w:footnoteRef/>
      </w:r>
      <w:r w:rsidRPr="005944B6">
        <w:t xml:space="preserve"> General Comment No. 1, paragraph 17.</w:t>
      </w:r>
    </w:p>
  </w:footnote>
  <w:footnote w:id="232">
    <w:p w:rsidR="009935D0" w:rsidRPr="005944B6" w:rsidRDefault="009935D0" w:rsidP="009935D0">
      <w:pPr>
        <w:pStyle w:val="aa"/>
      </w:pPr>
      <w:r w:rsidRPr="005944B6">
        <w:rPr>
          <w:rStyle w:val="ac"/>
          <w:rFonts w:cs="Arial"/>
          <w:szCs w:val="18"/>
        </w:rPr>
        <w:footnoteRef/>
      </w:r>
      <w:r w:rsidRPr="005944B6">
        <w:t xml:space="preserve"> General Comment No. 1, paragraph 17.</w:t>
      </w:r>
    </w:p>
  </w:footnote>
  <w:footnote w:id="233">
    <w:p w:rsidR="009935D0" w:rsidRPr="005944B6" w:rsidRDefault="009935D0" w:rsidP="009935D0">
      <w:pPr>
        <w:pStyle w:val="aa"/>
      </w:pPr>
      <w:r w:rsidRPr="005944B6">
        <w:rPr>
          <w:rStyle w:val="ac"/>
          <w:rFonts w:cs="Arial"/>
          <w:szCs w:val="18"/>
        </w:rPr>
        <w:footnoteRef/>
      </w:r>
      <w:r w:rsidRPr="005944B6">
        <w:t xml:space="preserve"> General Comment No. 1, paragraph 21.</w:t>
      </w:r>
    </w:p>
  </w:footnote>
  <w:footnote w:id="234">
    <w:p w:rsidR="009935D0" w:rsidRPr="005944B6" w:rsidRDefault="009935D0" w:rsidP="009935D0">
      <w:pPr>
        <w:pStyle w:val="aa"/>
      </w:pPr>
      <w:r w:rsidRPr="005944B6">
        <w:rPr>
          <w:rStyle w:val="ac"/>
          <w:rFonts w:cs="Arial"/>
          <w:szCs w:val="18"/>
        </w:rPr>
        <w:footnoteRef/>
      </w:r>
      <w:r w:rsidRPr="005944B6">
        <w:t xml:space="preserve"> General Comment No. 1, paragraphs 20 and 22.</w:t>
      </w:r>
    </w:p>
  </w:footnote>
  <w:footnote w:id="235">
    <w:p w:rsidR="007F5C98" w:rsidRPr="005944B6" w:rsidRDefault="007F5C98" w:rsidP="007F5C98">
      <w:pPr>
        <w:pStyle w:val="aa"/>
      </w:pPr>
      <w:r w:rsidRPr="005944B6">
        <w:rPr>
          <w:rStyle w:val="ac"/>
          <w:rFonts w:cs="Arial"/>
          <w:szCs w:val="18"/>
        </w:rPr>
        <w:footnoteRef/>
      </w:r>
      <w:r w:rsidRPr="005944B6">
        <w:t xml:space="preserve"> See for instance </w:t>
      </w:r>
      <w:r>
        <w:t>c</w:t>
      </w:r>
      <w:r w:rsidRPr="005944B6">
        <w:t>oncluding observations on Bolivia (CRPD/C/BOL/CO/1), paragraph 23.</w:t>
      </w:r>
    </w:p>
  </w:footnote>
  <w:footnote w:id="236">
    <w:p w:rsidR="007F5C98" w:rsidRPr="005944B6" w:rsidRDefault="007F5C98" w:rsidP="007F5C98">
      <w:pPr>
        <w:pStyle w:val="aa"/>
      </w:pPr>
      <w:r w:rsidRPr="005944B6">
        <w:rPr>
          <w:rStyle w:val="ac"/>
          <w:rFonts w:cs="Arial"/>
          <w:szCs w:val="18"/>
        </w:rPr>
        <w:footnoteRef/>
      </w:r>
      <w:r w:rsidRPr="005944B6">
        <w:t xml:space="preserve"> Concluding observations on Oman (CRPD/C/OMN/CO/1), paragraph 22.</w:t>
      </w:r>
    </w:p>
  </w:footnote>
  <w:footnote w:id="237">
    <w:p w:rsidR="007F5C98" w:rsidRPr="005944B6" w:rsidRDefault="007F5C98" w:rsidP="007F5C98">
      <w:pPr>
        <w:pStyle w:val="aa"/>
      </w:pPr>
      <w:r w:rsidRPr="005944B6">
        <w:rPr>
          <w:rStyle w:val="ac"/>
          <w:rFonts w:cs="Arial"/>
          <w:szCs w:val="18"/>
        </w:rPr>
        <w:footnoteRef/>
      </w:r>
      <w:r w:rsidRPr="005944B6">
        <w:t xml:space="preserve"> Concluding observations on Gabon (CRPD/C/GAB/CO/1), paragraph 25.</w:t>
      </w:r>
    </w:p>
  </w:footnote>
  <w:footnote w:id="238">
    <w:p w:rsidR="007F5C98" w:rsidRPr="005944B6" w:rsidRDefault="007F5C98" w:rsidP="007F5C98">
      <w:pPr>
        <w:pStyle w:val="aa"/>
      </w:pPr>
      <w:r w:rsidRPr="005944B6">
        <w:rPr>
          <w:rStyle w:val="ac"/>
          <w:rFonts w:cs="Arial"/>
          <w:szCs w:val="18"/>
        </w:rPr>
        <w:footnoteRef/>
      </w:r>
      <w:r w:rsidRPr="005944B6">
        <w:t xml:space="preserve"> See for instance</w:t>
      </w:r>
      <w:r>
        <w:t xml:space="preserve"> c</w:t>
      </w:r>
      <w:r w:rsidRPr="005944B6">
        <w:t>oncluding observations on Kenya (CRPD/C/KEN/CO/1), paragraph 20.</w:t>
      </w:r>
    </w:p>
  </w:footnote>
  <w:footnote w:id="239">
    <w:p w:rsidR="007F5C98" w:rsidRPr="005944B6" w:rsidRDefault="007F5C98" w:rsidP="007F5C98">
      <w:pPr>
        <w:pStyle w:val="aa"/>
      </w:pPr>
      <w:r w:rsidRPr="005944B6">
        <w:rPr>
          <w:rStyle w:val="ac"/>
          <w:rFonts w:cs="Arial"/>
          <w:szCs w:val="18"/>
        </w:rPr>
        <w:footnoteRef/>
      </w:r>
      <w:r w:rsidRPr="005944B6">
        <w:t xml:space="preserve"> See for instance </w:t>
      </w:r>
      <w:r>
        <w:t>c</w:t>
      </w:r>
      <w:r w:rsidRPr="005944B6">
        <w:t>oncluding observations on Cyprus (CRPD/C/CYP/CO/1), paragraph 30.</w:t>
      </w:r>
    </w:p>
  </w:footnote>
  <w:footnote w:id="240">
    <w:p w:rsidR="007F5C98" w:rsidRPr="005944B6" w:rsidRDefault="007F5C98" w:rsidP="007F5C98">
      <w:pPr>
        <w:pStyle w:val="aa"/>
      </w:pPr>
      <w:r w:rsidRPr="005944B6">
        <w:rPr>
          <w:rStyle w:val="ac"/>
          <w:rFonts w:cs="Arial"/>
          <w:szCs w:val="18"/>
        </w:rPr>
        <w:footnoteRef/>
      </w:r>
      <w:r w:rsidRPr="005944B6">
        <w:t xml:space="preserve"> Concluding observations on Iran (CRPD/C/IRN/CO/1), paragraph 23.</w:t>
      </w:r>
    </w:p>
  </w:footnote>
  <w:footnote w:id="241">
    <w:p w:rsidR="007F5C98" w:rsidRPr="005944B6" w:rsidRDefault="007F5C98" w:rsidP="007F5C98">
      <w:pPr>
        <w:pStyle w:val="aa"/>
      </w:pPr>
      <w:r w:rsidRPr="005944B6">
        <w:rPr>
          <w:rStyle w:val="ac"/>
          <w:rFonts w:cs="Arial"/>
          <w:szCs w:val="18"/>
        </w:rPr>
        <w:footnoteRef/>
      </w:r>
      <w:r w:rsidRPr="005944B6">
        <w:t xml:space="preserve"> Concluding observations on Iran (CRPD/C/IRN/CO/1), paragraph 23.</w:t>
      </w:r>
    </w:p>
  </w:footnote>
  <w:footnote w:id="242">
    <w:p w:rsidR="007F5C98" w:rsidRPr="005944B6" w:rsidRDefault="007F5C98" w:rsidP="007F5C98">
      <w:pPr>
        <w:pStyle w:val="aa"/>
      </w:pPr>
      <w:r w:rsidRPr="005944B6">
        <w:rPr>
          <w:rStyle w:val="ac"/>
          <w:rFonts w:cs="Arial"/>
          <w:szCs w:val="18"/>
        </w:rPr>
        <w:footnoteRef/>
      </w:r>
      <w:r w:rsidRPr="005944B6">
        <w:t xml:space="preserve"> Concluding observations on Iran (CRPD/C/IRN/CO/1), paragraph 22.</w:t>
      </w:r>
    </w:p>
  </w:footnote>
  <w:footnote w:id="243">
    <w:p w:rsidR="007F5C98" w:rsidRPr="005944B6" w:rsidRDefault="007F5C98" w:rsidP="007F5C98">
      <w:pPr>
        <w:pStyle w:val="aa"/>
      </w:pPr>
      <w:r w:rsidRPr="005944B6">
        <w:rPr>
          <w:rStyle w:val="ac"/>
          <w:rFonts w:cs="Arial"/>
          <w:szCs w:val="18"/>
        </w:rPr>
        <w:footnoteRef/>
      </w:r>
      <w:r w:rsidRPr="005944B6">
        <w:t xml:space="preserve"> Concluding observations on the United Kingdom (CRPD/C/GBR/CO/1), paragraph 26; Concluding observations on Spain (CRPD/C/GESP/CO/1), paragraphs 29</w:t>
      </w:r>
      <w:r>
        <w:t>-</w:t>
      </w:r>
      <w:r w:rsidRPr="005944B6">
        <w:t xml:space="preserve">30. </w:t>
      </w:r>
    </w:p>
  </w:footnote>
  <w:footnote w:id="244">
    <w:p w:rsidR="007F5C98" w:rsidRPr="005944B6" w:rsidRDefault="007F5C98" w:rsidP="007F5C98">
      <w:pPr>
        <w:pStyle w:val="aa"/>
      </w:pPr>
      <w:r w:rsidRPr="005944B6">
        <w:rPr>
          <w:rStyle w:val="ac"/>
          <w:rFonts w:cs="Arial"/>
          <w:szCs w:val="18"/>
        </w:rPr>
        <w:footnoteRef/>
      </w:r>
      <w:r w:rsidRPr="005944B6">
        <w:t xml:space="preserve"> Concluding observations on Canada (CRPD/C/CAN/CO/1), paragraph 24.</w:t>
      </w:r>
    </w:p>
  </w:footnote>
  <w:footnote w:id="245">
    <w:p w:rsidR="007F5C98" w:rsidRPr="005944B6" w:rsidRDefault="007F5C98" w:rsidP="007F5C98">
      <w:pPr>
        <w:pStyle w:val="aa"/>
      </w:pPr>
      <w:r w:rsidRPr="005944B6">
        <w:rPr>
          <w:rStyle w:val="ac"/>
          <w:rFonts w:cs="Arial"/>
          <w:szCs w:val="18"/>
        </w:rPr>
        <w:footnoteRef/>
      </w:r>
      <w:r w:rsidRPr="005944B6">
        <w:t xml:space="preserve"> Concluding observations on Sweden (C</w:t>
      </w:r>
      <w:r>
        <w:t>RPD/C/SWE/CO/1), paragraph 30; c</w:t>
      </w:r>
      <w:r w:rsidRPr="005944B6">
        <w:t xml:space="preserve">oncluding observations on China, Hong Kong (CRPD/C/CHN/CO/1), paragraphs 63-64. </w:t>
      </w:r>
    </w:p>
  </w:footnote>
  <w:footnote w:id="246">
    <w:p w:rsidR="007F5C98" w:rsidRPr="005944B6" w:rsidRDefault="007F5C98" w:rsidP="007F5C98">
      <w:pPr>
        <w:pStyle w:val="aa"/>
      </w:pPr>
      <w:r w:rsidRPr="005944B6">
        <w:rPr>
          <w:rStyle w:val="ac"/>
          <w:rFonts w:cs="Arial"/>
          <w:szCs w:val="18"/>
        </w:rPr>
        <w:footnoteRef/>
      </w:r>
      <w:r w:rsidRPr="005944B6">
        <w:t xml:space="preserve"> General Comment No</w:t>
      </w:r>
      <w:r>
        <w:t>.</w:t>
      </w:r>
      <w:r w:rsidRPr="005944B6">
        <w:t xml:space="preserve"> 4, paragraph 51.</w:t>
      </w:r>
    </w:p>
  </w:footnote>
  <w:footnote w:id="247">
    <w:p w:rsidR="007F5C98" w:rsidRPr="005944B6" w:rsidRDefault="007F5C98" w:rsidP="007F5C98">
      <w:pPr>
        <w:pStyle w:val="aa"/>
      </w:pPr>
      <w:r w:rsidRPr="005944B6">
        <w:rPr>
          <w:rStyle w:val="ac"/>
          <w:rFonts w:cs="Arial"/>
          <w:szCs w:val="18"/>
        </w:rPr>
        <w:footnoteRef/>
      </w:r>
      <w:r w:rsidRPr="005944B6">
        <w:t xml:space="preserve"> Concluding observations on New Zealand (CRPD/C/NZL/CO/1), paragraphs 49-50.</w:t>
      </w:r>
    </w:p>
  </w:footnote>
  <w:footnote w:id="248">
    <w:p w:rsidR="007F5C98" w:rsidRPr="005944B6" w:rsidRDefault="007F5C98" w:rsidP="007F5C98">
      <w:pPr>
        <w:pStyle w:val="aa"/>
      </w:pPr>
      <w:r w:rsidRPr="005944B6">
        <w:rPr>
          <w:rStyle w:val="ac"/>
          <w:rFonts w:cs="Arial"/>
          <w:szCs w:val="18"/>
        </w:rPr>
        <w:footnoteRef/>
      </w:r>
      <w:r w:rsidRPr="005944B6">
        <w:t xml:space="preserve"> See</w:t>
      </w:r>
      <w:r w:rsidRPr="006C38BE">
        <w:rPr>
          <w:sz w:val="12"/>
        </w:rPr>
        <w:t xml:space="preserve"> </w:t>
      </w:r>
      <w:r w:rsidRPr="005944B6">
        <w:t>for</w:t>
      </w:r>
      <w:r w:rsidRPr="006C38BE">
        <w:rPr>
          <w:sz w:val="10"/>
        </w:rPr>
        <w:t xml:space="preserve"> </w:t>
      </w:r>
      <w:r w:rsidRPr="005944B6">
        <w:t>instance</w:t>
      </w:r>
      <w:r w:rsidRPr="006C38BE">
        <w:rPr>
          <w:sz w:val="12"/>
        </w:rPr>
        <w:t xml:space="preserve"> </w:t>
      </w:r>
      <w:r>
        <w:t>c</w:t>
      </w:r>
      <w:r w:rsidRPr="005944B6">
        <w:t>oncluding</w:t>
      </w:r>
      <w:r w:rsidRPr="006C38BE">
        <w:rPr>
          <w:sz w:val="12"/>
        </w:rPr>
        <w:t xml:space="preserve"> </w:t>
      </w:r>
      <w:r w:rsidRPr="005944B6">
        <w:t>observations</w:t>
      </w:r>
      <w:r w:rsidRPr="006C38BE">
        <w:rPr>
          <w:sz w:val="12"/>
        </w:rPr>
        <w:t xml:space="preserve"> </w:t>
      </w:r>
      <w:r w:rsidRPr="005944B6">
        <w:t>on Montenegro (CRPD/C/MNE/CO/1), paragraph 13(d).</w:t>
      </w:r>
    </w:p>
  </w:footnote>
  <w:footnote w:id="249">
    <w:p w:rsidR="007F5C98" w:rsidRPr="005944B6" w:rsidRDefault="007F5C98" w:rsidP="007F5C98">
      <w:pPr>
        <w:pStyle w:val="aa"/>
      </w:pPr>
      <w:r w:rsidRPr="005944B6">
        <w:rPr>
          <w:rStyle w:val="ac"/>
          <w:rFonts w:cs="Arial"/>
          <w:szCs w:val="18"/>
        </w:rPr>
        <w:footnoteRef/>
      </w:r>
      <w:r>
        <w:t xml:space="preserve"> See for instance</w:t>
      </w:r>
      <w:r w:rsidRPr="005944B6">
        <w:t xml:space="preserve"> </w:t>
      </w:r>
      <w:r>
        <w:t>c</w:t>
      </w:r>
      <w:r w:rsidRPr="005944B6">
        <w:t>oncluding observations on Qatar (CRPD/C/QAT/CO/1), paragraph 28.</w:t>
      </w:r>
    </w:p>
  </w:footnote>
  <w:footnote w:id="250">
    <w:p w:rsidR="007F5C98" w:rsidRPr="005944B6" w:rsidRDefault="007F5C98" w:rsidP="007F5C98">
      <w:pPr>
        <w:pStyle w:val="aa"/>
      </w:pPr>
      <w:r w:rsidRPr="005944B6">
        <w:rPr>
          <w:rStyle w:val="ac"/>
          <w:rFonts w:cs="Arial"/>
          <w:szCs w:val="18"/>
        </w:rPr>
        <w:footnoteRef/>
      </w:r>
      <w:r w:rsidRPr="005944B6">
        <w:t xml:space="preserve"> Concluding observations on Canada (CRPD/C/CAN/CO/1), paragraph 24.</w:t>
      </w:r>
    </w:p>
  </w:footnote>
  <w:footnote w:id="251">
    <w:p w:rsidR="007F5C98" w:rsidRPr="005944B6" w:rsidRDefault="007F5C98" w:rsidP="007F5C98">
      <w:pPr>
        <w:pStyle w:val="aa"/>
      </w:pPr>
      <w:r w:rsidRPr="005944B6">
        <w:rPr>
          <w:rStyle w:val="ac"/>
          <w:rFonts w:cs="Arial"/>
          <w:szCs w:val="18"/>
        </w:rPr>
        <w:footnoteRef/>
      </w:r>
      <w:r w:rsidRPr="005944B6">
        <w:t xml:space="preserve"> Concluding observations on United Arab Emirates (CRPD/C/ARE/CO/1), paragraphs 31-32.</w:t>
      </w:r>
    </w:p>
  </w:footnote>
  <w:footnote w:id="252">
    <w:p w:rsidR="007F5C98" w:rsidRPr="005944B6" w:rsidRDefault="007F5C98" w:rsidP="007F5C98">
      <w:pPr>
        <w:pStyle w:val="aa"/>
      </w:pPr>
      <w:r w:rsidRPr="005944B6">
        <w:rPr>
          <w:rStyle w:val="ac"/>
          <w:rFonts w:cs="Arial"/>
          <w:szCs w:val="18"/>
        </w:rPr>
        <w:footnoteRef/>
      </w:r>
      <w:r w:rsidRPr="005944B6">
        <w:t xml:space="preserve"> See for instance </w:t>
      </w:r>
      <w:r>
        <w:t>c</w:t>
      </w:r>
      <w:r w:rsidRPr="005944B6">
        <w:t>oncluding observations on Cyprus (CRPD/C/CYP/CO/1), paragraph 40.</w:t>
      </w:r>
    </w:p>
  </w:footnote>
  <w:footnote w:id="253">
    <w:p w:rsidR="006A7DDE" w:rsidRPr="005944B6" w:rsidRDefault="006A7DDE" w:rsidP="006A7DDE">
      <w:pPr>
        <w:pStyle w:val="aa"/>
      </w:pPr>
      <w:r w:rsidRPr="005944B6">
        <w:rPr>
          <w:rStyle w:val="ac"/>
          <w:rFonts w:cs="Arial"/>
          <w:szCs w:val="18"/>
        </w:rPr>
        <w:footnoteRef/>
      </w:r>
      <w:r w:rsidRPr="005944B6">
        <w:t xml:space="preserve"> See for instance concluding observations on Latvia (CRPD/</w:t>
      </w:r>
      <w:r>
        <w:t>C/LVA/CO/1), paragraphs 28-29; c</w:t>
      </w:r>
      <w:r w:rsidRPr="005944B6">
        <w:t>oncluding observations on Bosnia and Herzegovina (CRPD/C/BIH/CO/1), paragraphs 30-31.</w:t>
      </w:r>
    </w:p>
  </w:footnote>
  <w:footnote w:id="254">
    <w:p w:rsidR="006A7DDE" w:rsidRPr="005944B6" w:rsidRDefault="006A7DDE" w:rsidP="006A7DDE">
      <w:pPr>
        <w:pStyle w:val="aa"/>
      </w:pPr>
      <w:r w:rsidRPr="005944B6">
        <w:rPr>
          <w:rStyle w:val="ac"/>
          <w:rFonts w:cs="Arial"/>
          <w:szCs w:val="18"/>
        </w:rPr>
        <w:footnoteRef/>
      </w:r>
      <w:r w:rsidRPr="005944B6">
        <w:t xml:space="preserve"> See concluding observations on Denmark (CRPD/C/DNK/CO/1), paragraph 40;</w:t>
      </w:r>
    </w:p>
  </w:footnote>
  <w:footnote w:id="255">
    <w:p w:rsidR="006A7DDE" w:rsidRPr="005944B6" w:rsidRDefault="006A7DDE" w:rsidP="006A7DDE">
      <w:pPr>
        <w:pStyle w:val="aa"/>
      </w:pPr>
      <w:r w:rsidRPr="005944B6">
        <w:rPr>
          <w:rStyle w:val="ac"/>
          <w:rFonts w:cs="Arial"/>
          <w:szCs w:val="18"/>
        </w:rPr>
        <w:footnoteRef/>
      </w:r>
      <w:r w:rsidRPr="005944B6">
        <w:t xml:space="preserve"> Concluding observations on Luxembourg (CRPD/C/LUX/CO/1), paragraph 33.</w:t>
      </w:r>
    </w:p>
  </w:footnote>
  <w:footnote w:id="256">
    <w:p w:rsidR="006A7DDE" w:rsidRPr="005944B6" w:rsidRDefault="006A7DDE" w:rsidP="006A7DDE">
      <w:pPr>
        <w:pStyle w:val="aa"/>
      </w:pPr>
      <w:r w:rsidRPr="005944B6">
        <w:rPr>
          <w:rStyle w:val="ac"/>
          <w:rFonts w:cs="Arial"/>
          <w:szCs w:val="18"/>
        </w:rPr>
        <w:footnoteRef/>
      </w:r>
      <w:r w:rsidRPr="005944B6">
        <w:t xml:space="preserve"> See for instance concluding observations on Cyprus (CRPD/C/CYP/CO/1), paragraph 40; concluding observations on Italy (CRPD/C/ITA/CO/1), paragraph 44.</w:t>
      </w:r>
    </w:p>
  </w:footnote>
  <w:footnote w:id="257">
    <w:p w:rsidR="006A7DDE" w:rsidRPr="005944B6" w:rsidRDefault="006A7DDE" w:rsidP="006A7DDE">
      <w:pPr>
        <w:pStyle w:val="aa"/>
      </w:pPr>
      <w:r w:rsidRPr="005944B6">
        <w:rPr>
          <w:rStyle w:val="ac"/>
          <w:rFonts w:cs="Arial"/>
          <w:szCs w:val="18"/>
        </w:rPr>
        <w:footnoteRef/>
      </w:r>
      <w:r w:rsidRPr="005944B6">
        <w:t xml:space="preserve"> General Comment No. 2, paragraph 40. This includes accessible reproductive health care for women and girls with disabilities, including gynecological and obstetric services. </w:t>
      </w:r>
    </w:p>
  </w:footnote>
  <w:footnote w:id="258">
    <w:p w:rsidR="006A7DDE" w:rsidRPr="005944B6" w:rsidRDefault="006A7DDE" w:rsidP="006A7DDE">
      <w:pPr>
        <w:pStyle w:val="aa"/>
      </w:pPr>
      <w:r w:rsidRPr="005944B6">
        <w:rPr>
          <w:rStyle w:val="ac"/>
          <w:rFonts w:cs="Arial"/>
          <w:szCs w:val="18"/>
        </w:rPr>
        <w:footnoteRef/>
      </w:r>
      <w:r w:rsidRPr="005944B6">
        <w:t xml:space="preserve"> General Comment No. 5, paragraph 89.</w:t>
      </w:r>
    </w:p>
  </w:footnote>
  <w:footnote w:id="259">
    <w:p w:rsidR="006A7DDE" w:rsidRPr="005944B6" w:rsidRDefault="006A7DDE" w:rsidP="006A7DDE">
      <w:pPr>
        <w:pStyle w:val="aa"/>
      </w:pPr>
      <w:r w:rsidRPr="005944B6">
        <w:rPr>
          <w:rStyle w:val="ac"/>
          <w:rFonts w:cs="Arial"/>
          <w:szCs w:val="18"/>
        </w:rPr>
        <w:footnoteRef/>
      </w:r>
      <w:r w:rsidRPr="00FF1464">
        <w:rPr>
          <w:lang w:val="de-DE"/>
        </w:rPr>
        <w:t xml:space="preserve"> </w:t>
      </w:r>
      <w:r w:rsidRPr="00FF1464">
        <w:rPr>
          <w:i/>
          <w:lang w:val="de-DE"/>
        </w:rPr>
        <w:t>H.M vs. Sweden</w:t>
      </w:r>
      <w:r w:rsidRPr="00FF1464">
        <w:rPr>
          <w:lang w:val="de-DE"/>
        </w:rPr>
        <w:t xml:space="preserve"> (CRPD/C/7/D/3/2011). </w:t>
      </w:r>
      <w:r w:rsidRPr="005944B6">
        <w:t>In particular</w:t>
      </w:r>
      <w:r>
        <w:t xml:space="preserve">, </w:t>
      </w:r>
      <w:r w:rsidRPr="005944B6">
        <w:t xml:space="preserve">the State failed to provide reasonable accommodation and to fulfil its obligations concerning non-discrimination, the right of living independently and being included in the community, the rights </w:t>
      </w:r>
      <w:r>
        <w:t xml:space="preserve">to </w:t>
      </w:r>
      <w:r w:rsidRPr="005944B6">
        <w:t>health and rehabilitation, in violations of articles 5(1), 5(3), 19(b), 25 and 26, read alone and in conjunction with articles 3</w:t>
      </w:r>
      <w:r>
        <w:t>(b), (d) and (e), and 4(1)</w:t>
      </w:r>
      <w:r w:rsidRPr="005944B6">
        <w:t>(d) of the Convention.</w:t>
      </w:r>
    </w:p>
  </w:footnote>
  <w:footnote w:id="260">
    <w:p w:rsidR="006A7DDE" w:rsidRPr="005944B6" w:rsidRDefault="006A7DDE" w:rsidP="006A7DDE">
      <w:pPr>
        <w:pStyle w:val="aa"/>
      </w:pPr>
      <w:r w:rsidRPr="005944B6">
        <w:rPr>
          <w:rStyle w:val="ac"/>
          <w:rFonts w:cs="Arial"/>
          <w:szCs w:val="18"/>
        </w:rPr>
        <w:footnoteRef/>
      </w:r>
      <w:r w:rsidRPr="005944B6">
        <w:t xml:space="preserve"> General Comment No. 1, paragraphs 8, 29 and 35. </w:t>
      </w:r>
    </w:p>
  </w:footnote>
  <w:footnote w:id="261">
    <w:p w:rsidR="006A7DDE" w:rsidRPr="005944B6" w:rsidRDefault="006A7DDE" w:rsidP="006A7DDE">
      <w:pPr>
        <w:pStyle w:val="aa"/>
      </w:pPr>
      <w:r w:rsidRPr="005944B6">
        <w:rPr>
          <w:rStyle w:val="ac"/>
          <w:rFonts w:cs="Arial"/>
          <w:szCs w:val="18"/>
        </w:rPr>
        <w:footnoteRef/>
      </w:r>
      <w:r w:rsidRPr="005944B6">
        <w:t xml:space="preserve"> See for instance General Comment No</w:t>
      </w:r>
      <w:r>
        <w:t>.</w:t>
      </w:r>
      <w:r w:rsidRPr="005944B6">
        <w:t xml:space="preserve"> 3, paragraphs 28 and 38-46. </w:t>
      </w:r>
    </w:p>
  </w:footnote>
  <w:footnote w:id="262">
    <w:p w:rsidR="006A7DDE" w:rsidRPr="005944B6" w:rsidRDefault="006A7DDE" w:rsidP="006A7DDE">
      <w:pPr>
        <w:pStyle w:val="aa"/>
      </w:pPr>
      <w:r w:rsidRPr="005944B6">
        <w:rPr>
          <w:rStyle w:val="ac"/>
          <w:rFonts w:cs="Arial"/>
          <w:szCs w:val="18"/>
        </w:rPr>
        <w:footnoteRef/>
      </w:r>
      <w:r w:rsidRPr="005944B6">
        <w:t xml:space="preserve"> General Comment No. 3, paragraph 40. See also </w:t>
      </w:r>
      <w:r>
        <w:t>c</w:t>
      </w:r>
      <w:r w:rsidRPr="005944B6">
        <w:t>oncluding observations on Canada (CRPD/C/CAN/CO/1), paragraph 45.</w:t>
      </w:r>
    </w:p>
  </w:footnote>
  <w:footnote w:id="263">
    <w:p w:rsidR="006A7DDE" w:rsidRPr="005944B6" w:rsidRDefault="006A7DDE" w:rsidP="006A7DDE">
      <w:pPr>
        <w:pStyle w:val="aa"/>
      </w:pPr>
      <w:r w:rsidRPr="005944B6">
        <w:rPr>
          <w:rStyle w:val="ac"/>
          <w:rFonts w:cs="Arial"/>
          <w:szCs w:val="18"/>
        </w:rPr>
        <w:footnoteRef/>
      </w:r>
      <w:r w:rsidRPr="005944B6">
        <w:t xml:space="preserve"> General Comment No</w:t>
      </w:r>
      <w:r>
        <w:t>.</w:t>
      </w:r>
      <w:r w:rsidRPr="005944B6">
        <w:t xml:space="preserve"> 1, paragraph 35. </w:t>
      </w:r>
    </w:p>
  </w:footnote>
  <w:footnote w:id="264">
    <w:p w:rsidR="006A7DDE" w:rsidRPr="005944B6" w:rsidRDefault="006A7DDE" w:rsidP="006A7DDE">
      <w:pPr>
        <w:pStyle w:val="aa"/>
      </w:pPr>
      <w:r w:rsidRPr="005944B6">
        <w:rPr>
          <w:rStyle w:val="ac"/>
          <w:rFonts w:cs="Arial"/>
          <w:szCs w:val="18"/>
        </w:rPr>
        <w:footnoteRef/>
      </w:r>
      <w:r w:rsidRPr="005944B6">
        <w:t xml:space="preserve"> See for instance </w:t>
      </w:r>
      <w:r>
        <w:t>c</w:t>
      </w:r>
      <w:r w:rsidRPr="005944B6">
        <w:t>oncluding observations on Haiti (CRPD/C/HTI/CO/1), paragraph 45.</w:t>
      </w:r>
    </w:p>
  </w:footnote>
  <w:footnote w:id="265">
    <w:p w:rsidR="006A7DDE" w:rsidRPr="005944B6" w:rsidRDefault="006A7DDE" w:rsidP="006A7DDE">
      <w:pPr>
        <w:pStyle w:val="aa"/>
      </w:pPr>
      <w:r w:rsidRPr="005944B6">
        <w:rPr>
          <w:rStyle w:val="ac"/>
          <w:rFonts w:cs="Arial"/>
          <w:szCs w:val="18"/>
        </w:rPr>
        <w:footnoteRef/>
      </w:r>
      <w:r w:rsidRPr="005944B6">
        <w:t xml:space="preserve"> Concluding observations on Canada (CRPD/C/CAN/CO/1), paragraphs 45-46.</w:t>
      </w:r>
    </w:p>
  </w:footnote>
  <w:footnote w:id="266">
    <w:p w:rsidR="000A2D64" w:rsidRPr="005944B6" w:rsidRDefault="000A2D64" w:rsidP="000A2D64">
      <w:pPr>
        <w:pStyle w:val="aa"/>
      </w:pPr>
      <w:r w:rsidRPr="005944B6">
        <w:rPr>
          <w:rStyle w:val="ac"/>
          <w:rFonts w:cs="Arial"/>
          <w:szCs w:val="18"/>
        </w:rPr>
        <w:footnoteRef/>
      </w:r>
      <w:r w:rsidRPr="005944B6">
        <w:t xml:space="preserve"> It denies the legal capacity of a person to choose medical treatment in violation of article 12 of the Convention, see reference below. </w:t>
      </w:r>
    </w:p>
  </w:footnote>
  <w:footnote w:id="267">
    <w:p w:rsidR="000A2D64" w:rsidRPr="005944B6" w:rsidRDefault="000A2D64" w:rsidP="000A2D64">
      <w:pPr>
        <w:pStyle w:val="aa"/>
      </w:pPr>
      <w:r w:rsidRPr="005944B6">
        <w:rPr>
          <w:rStyle w:val="ac"/>
          <w:rFonts w:cs="Arial"/>
          <w:szCs w:val="18"/>
        </w:rPr>
        <w:footnoteRef/>
      </w:r>
      <w:r w:rsidRPr="005944B6">
        <w:t xml:space="preserve"> General Comment No. 1, paragraph 42. </w:t>
      </w:r>
    </w:p>
  </w:footnote>
  <w:footnote w:id="268">
    <w:p w:rsidR="000A2D64" w:rsidRPr="005944B6" w:rsidRDefault="000A2D64" w:rsidP="000A2D64">
      <w:pPr>
        <w:pStyle w:val="aa"/>
      </w:pPr>
      <w:r w:rsidRPr="005944B6">
        <w:rPr>
          <w:rStyle w:val="ac"/>
          <w:rFonts w:cs="Arial"/>
          <w:szCs w:val="18"/>
        </w:rPr>
        <w:footnoteRef/>
      </w:r>
      <w:r w:rsidRPr="005944B6">
        <w:t xml:space="preserve"> Guidelines on article 14, paragraphs 10 and 11.</w:t>
      </w:r>
    </w:p>
  </w:footnote>
  <w:footnote w:id="269">
    <w:p w:rsidR="000A2D64" w:rsidRPr="005944B6" w:rsidRDefault="000A2D64" w:rsidP="000A2D64">
      <w:pPr>
        <w:pStyle w:val="aa"/>
      </w:pPr>
      <w:r w:rsidRPr="005944B6">
        <w:rPr>
          <w:rStyle w:val="ac"/>
          <w:rFonts w:cs="Arial"/>
          <w:szCs w:val="18"/>
        </w:rPr>
        <w:footnoteRef/>
      </w:r>
      <w:r w:rsidRPr="005944B6">
        <w:t xml:space="preserve"> See for instance concluding observations on Slovenia (CRPD/C/SVN/CO/1), paragraph 24. </w:t>
      </w:r>
    </w:p>
  </w:footnote>
  <w:footnote w:id="270">
    <w:p w:rsidR="000A2D64" w:rsidRPr="005944B6" w:rsidRDefault="000A2D64" w:rsidP="000A2D64">
      <w:pPr>
        <w:pStyle w:val="aa"/>
      </w:pPr>
      <w:r w:rsidRPr="005944B6">
        <w:rPr>
          <w:rStyle w:val="ac"/>
          <w:rFonts w:cs="Arial"/>
          <w:szCs w:val="18"/>
        </w:rPr>
        <w:footnoteRef/>
      </w:r>
      <w:r w:rsidRPr="005944B6">
        <w:t xml:space="preserve"> Concluding observations on the Russian Federation (CRPD/C/RUS/CO/1), paragraph 34.</w:t>
      </w:r>
    </w:p>
  </w:footnote>
  <w:footnote w:id="271">
    <w:p w:rsidR="000A2D64" w:rsidRPr="005944B6" w:rsidRDefault="000A2D64" w:rsidP="000A2D64">
      <w:pPr>
        <w:pStyle w:val="aa"/>
      </w:pPr>
      <w:r w:rsidRPr="005944B6">
        <w:rPr>
          <w:rStyle w:val="ac"/>
          <w:rFonts w:cs="Arial"/>
          <w:szCs w:val="18"/>
        </w:rPr>
        <w:footnoteRef/>
      </w:r>
      <w:r w:rsidRPr="005944B6">
        <w:t xml:space="preserve"> See General Comment No. 3, paragraph 61; General Comment No. 6, paragraph 7; concluding observations on the United Kingdom (CRPD/C/BGR/CO/1), paragraph 37. </w:t>
      </w:r>
    </w:p>
  </w:footnote>
  <w:footnote w:id="272">
    <w:p w:rsidR="000A2D64" w:rsidRPr="005944B6" w:rsidRDefault="000A2D64" w:rsidP="000A2D64">
      <w:pPr>
        <w:pStyle w:val="aa"/>
      </w:pPr>
      <w:r w:rsidRPr="005944B6">
        <w:rPr>
          <w:rStyle w:val="ac"/>
          <w:rFonts w:cs="Arial"/>
          <w:szCs w:val="18"/>
        </w:rPr>
        <w:footnoteRef/>
      </w:r>
      <w:r w:rsidRPr="005944B6">
        <w:t xml:space="preserve"> General Comment No. 3, paragraph 44. Regarding corrective surgery on intersex people see also </w:t>
      </w:r>
      <w:r>
        <w:t>c</w:t>
      </w:r>
      <w:r w:rsidRPr="005944B6">
        <w:t>oncluding observations on Morocco (CRPD/C/MAR/CO/1), paragraphs 36-37.</w:t>
      </w:r>
    </w:p>
  </w:footnote>
  <w:footnote w:id="273">
    <w:p w:rsidR="000A2D64" w:rsidRPr="005944B6" w:rsidRDefault="000A2D64" w:rsidP="000A2D64">
      <w:pPr>
        <w:pStyle w:val="aa"/>
      </w:pPr>
      <w:r w:rsidRPr="005944B6">
        <w:rPr>
          <w:rStyle w:val="ac"/>
          <w:rFonts w:cs="Arial"/>
          <w:szCs w:val="18"/>
        </w:rPr>
        <w:footnoteRef/>
      </w:r>
      <w:r w:rsidRPr="005944B6">
        <w:t xml:space="preserve"> See concluding observations of the Committee under articles 15 and 17.</w:t>
      </w:r>
      <w:r>
        <w:t xml:space="preserve"> </w:t>
      </w:r>
    </w:p>
  </w:footnote>
  <w:footnote w:id="274">
    <w:p w:rsidR="000A2D64" w:rsidRPr="005944B6" w:rsidRDefault="000A2D64" w:rsidP="000A2D64">
      <w:pPr>
        <w:pStyle w:val="aa"/>
      </w:pPr>
      <w:r w:rsidRPr="005944B6">
        <w:rPr>
          <w:rStyle w:val="ac"/>
          <w:rFonts w:cs="Arial"/>
          <w:szCs w:val="18"/>
        </w:rPr>
        <w:footnoteRef/>
      </w:r>
      <w:r w:rsidRPr="005944B6">
        <w:t xml:space="preserve"> See for instance </w:t>
      </w:r>
      <w:r>
        <w:t>c</w:t>
      </w:r>
      <w:r w:rsidRPr="005944B6">
        <w:t xml:space="preserve">oncluding Observations on Spain (CRPD/C/ESP/CO/1) paragraph 44(b) recommending to “ensure that the decisions to place children with a disability in a special school or in special classes, or to offer them solely a reduced-standard curriculum, are taken in consultation with the parents.” </w:t>
      </w:r>
    </w:p>
  </w:footnote>
  <w:footnote w:id="275">
    <w:p w:rsidR="000A2D64" w:rsidRPr="005944B6" w:rsidRDefault="000A2D64" w:rsidP="000A2D64">
      <w:pPr>
        <w:pStyle w:val="aa"/>
      </w:pPr>
      <w:r w:rsidRPr="005944B6">
        <w:rPr>
          <w:rStyle w:val="ac"/>
          <w:rFonts w:cs="Arial"/>
          <w:szCs w:val="18"/>
        </w:rPr>
        <w:footnoteRef/>
      </w:r>
      <w:r w:rsidRPr="005944B6">
        <w:t xml:space="preserve"> See for instance </w:t>
      </w:r>
      <w:r>
        <w:t>c</w:t>
      </w:r>
      <w:r w:rsidRPr="005944B6">
        <w:t xml:space="preserve">oncluding </w:t>
      </w:r>
      <w:r>
        <w:t>o</w:t>
      </w:r>
      <w:r w:rsidRPr="005944B6">
        <w:t xml:space="preserve">bservations on Croatia (CRPD/C/HRV/CO/1), paragraph 36. </w:t>
      </w:r>
    </w:p>
  </w:footnote>
  <w:footnote w:id="276">
    <w:p w:rsidR="000A2D64" w:rsidRPr="005944B6" w:rsidRDefault="000A2D64" w:rsidP="000A2D64">
      <w:pPr>
        <w:pStyle w:val="aa"/>
      </w:pPr>
      <w:r w:rsidRPr="005944B6">
        <w:rPr>
          <w:rStyle w:val="ac"/>
          <w:rFonts w:cs="Arial"/>
          <w:szCs w:val="18"/>
        </w:rPr>
        <w:footnoteRef/>
      </w:r>
      <w:r w:rsidRPr="005944B6">
        <w:t xml:space="preserve"> General Comment No. 4, paragraph 9. </w:t>
      </w:r>
    </w:p>
  </w:footnote>
  <w:footnote w:id="277">
    <w:p w:rsidR="000A2D64" w:rsidRPr="005944B6" w:rsidRDefault="000A2D64" w:rsidP="000A2D64">
      <w:pPr>
        <w:pStyle w:val="aa"/>
      </w:pPr>
      <w:r w:rsidRPr="005944B6">
        <w:rPr>
          <w:rStyle w:val="ac"/>
          <w:rFonts w:cs="Arial"/>
          <w:szCs w:val="18"/>
        </w:rPr>
        <w:footnoteRef/>
      </w:r>
      <w:r w:rsidRPr="005944B6">
        <w:t xml:space="preserve"> General Comment No. 4, paragraph 9. </w:t>
      </w:r>
    </w:p>
  </w:footnote>
  <w:footnote w:id="278">
    <w:p w:rsidR="007B2F2E" w:rsidRPr="005944B6" w:rsidRDefault="007B2F2E" w:rsidP="007B2F2E">
      <w:pPr>
        <w:pStyle w:val="aa"/>
      </w:pPr>
      <w:r w:rsidRPr="005944B6">
        <w:rPr>
          <w:rStyle w:val="ac"/>
          <w:rFonts w:cs="Arial"/>
          <w:szCs w:val="18"/>
        </w:rPr>
        <w:footnoteRef/>
      </w:r>
      <w:r w:rsidRPr="005944B6">
        <w:t xml:space="preserve"> For instance concluding observations on Cyprus (CRPD/C/CYP/CO/1), paragraph 50. </w:t>
      </w:r>
    </w:p>
  </w:footnote>
  <w:footnote w:id="279">
    <w:p w:rsidR="007B2F2E" w:rsidRPr="005944B6" w:rsidRDefault="007B2F2E" w:rsidP="007B2F2E">
      <w:pPr>
        <w:pStyle w:val="aa"/>
      </w:pPr>
      <w:r w:rsidRPr="005944B6">
        <w:rPr>
          <w:rStyle w:val="ac"/>
          <w:rFonts w:cs="Arial"/>
          <w:szCs w:val="18"/>
        </w:rPr>
        <w:footnoteRef/>
      </w:r>
      <w:r w:rsidRPr="005944B6">
        <w:t xml:space="preserve"> See General Comment No</w:t>
      </w:r>
      <w:r>
        <w:t>.</w:t>
      </w:r>
      <w:r w:rsidRPr="005944B6">
        <w:t xml:space="preserve"> 4, paragraphs 40-41 and Concluding Observations on Kenya (CRPD/C/KEN/CO/1), paragraph 44.</w:t>
      </w:r>
    </w:p>
  </w:footnote>
  <w:footnote w:id="280">
    <w:p w:rsidR="007B2F2E" w:rsidRPr="005944B6" w:rsidRDefault="007B2F2E" w:rsidP="007B2F2E">
      <w:pPr>
        <w:pStyle w:val="aa"/>
      </w:pPr>
      <w:r w:rsidRPr="005944B6">
        <w:rPr>
          <w:rStyle w:val="ac"/>
          <w:rFonts w:cs="Arial"/>
          <w:szCs w:val="18"/>
        </w:rPr>
        <w:footnoteRef/>
      </w:r>
      <w:r w:rsidRPr="005944B6">
        <w:t xml:space="preserve"> Inquiry concerning Spain (CRPD/C/20/3), paragraph 82.</w:t>
      </w:r>
    </w:p>
  </w:footnote>
  <w:footnote w:id="281">
    <w:p w:rsidR="007B2F2E" w:rsidRPr="005944B6" w:rsidRDefault="007B2F2E" w:rsidP="007B2F2E">
      <w:pPr>
        <w:pStyle w:val="aa"/>
        <w:rPr>
          <w:b/>
          <w:bCs/>
        </w:rPr>
      </w:pPr>
      <w:r w:rsidRPr="005944B6">
        <w:rPr>
          <w:rStyle w:val="ac"/>
          <w:rFonts w:cs="Arial"/>
          <w:szCs w:val="18"/>
        </w:rPr>
        <w:footnoteRef/>
      </w:r>
      <w:r w:rsidRPr="005944B6">
        <w:t xml:space="preserve"> Statement of the CRPD Committee on the situation in Haiti (A/66/55, Annex XI); Statement on the earthquake and tsunami in Chile (A/66/55, annex XII); Statement on the earthquake in Qinghai (A/66/55, annex XIII); Joint statement CRPD/CRC/CEDAW on the Pakistan Floods (A/66/55, annex XIV); </w:t>
      </w:r>
      <w:r w:rsidRPr="005944B6">
        <w:rPr>
          <w:bCs/>
        </w:rPr>
        <w:t xml:space="preserve">Statement on the situation of persons with disabilities affected by disasters in </w:t>
      </w:r>
      <w:r w:rsidRPr="005944B6">
        <w:rPr>
          <w:bCs/>
          <w:lang w:val="es-ES"/>
        </w:rPr>
        <w:t>Peru, Ecuador and Colombia</w:t>
      </w:r>
      <w:r w:rsidRPr="005944B6">
        <w:rPr>
          <w:bCs/>
        </w:rPr>
        <w:t>.</w:t>
      </w:r>
    </w:p>
  </w:footnote>
  <w:footnote w:id="282">
    <w:p w:rsidR="007B2F2E" w:rsidRPr="005944B6" w:rsidRDefault="007B2F2E" w:rsidP="007B2F2E">
      <w:pPr>
        <w:pStyle w:val="aa"/>
      </w:pPr>
      <w:r w:rsidRPr="005944B6">
        <w:rPr>
          <w:rStyle w:val="ac"/>
          <w:rFonts w:cs="Arial"/>
          <w:szCs w:val="18"/>
        </w:rPr>
        <w:footnoteRef/>
      </w:r>
      <w:r w:rsidRPr="005944B6">
        <w:t xml:space="preserve"> Statement on persons with disabilities being forgotten victims of the Syrian conflict.</w:t>
      </w:r>
    </w:p>
  </w:footnote>
  <w:footnote w:id="283">
    <w:p w:rsidR="007B2F2E" w:rsidRPr="005944B6" w:rsidRDefault="007B2F2E" w:rsidP="007B2F2E">
      <w:pPr>
        <w:pStyle w:val="aa"/>
      </w:pPr>
      <w:r w:rsidRPr="005944B6">
        <w:rPr>
          <w:rStyle w:val="ac"/>
          <w:rFonts w:cs="Arial"/>
          <w:szCs w:val="18"/>
        </w:rPr>
        <w:footnoteRef/>
      </w:r>
      <w:r w:rsidRPr="005944B6">
        <w:t xml:space="preserve"> Statement on Disability Inclusion in the Third World Conference on Disaster Risk Reduction and Beyond (2014). </w:t>
      </w:r>
    </w:p>
  </w:footnote>
  <w:footnote w:id="284">
    <w:p w:rsidR="007B2F2E" w:rsidRPr="005944B6" w:rsidRDefault="007B2F2E" w:rsidP="007B2F2E">
      <w:pPr>
        <w:pStyle w:val="aa"/>
      </w:pPr>
      <w:r w:rsidRPr="005944B6">
        <w:rPr>
          <w:rStyle w:val="ac"/>
          <w:rFonts w:cs="Arial"/>
          <w:szCs w:val="18"/>
        </w:rPr>
        <w:footnoteRef/>
      </w:r>
      <w:r w:rsidRPr="005944B6">
        <w:t xml:space="preserve"> Statement on disability inclusion for the World Humanitarian Summit (September 2015). </w:t>
      </w:r>
    </w:p>
  </w:footnote>
  <w:footnote w:id="285">
    <w:p w:rsidR="007B2F2E" w:rsidRPr="005944B6" w:rsidRDefault="007B2F2E" w:rsidP="007B2F2E">
      <w:pPr>
        <w:pStyle w:val="aa"/>
      </w:pPr>
      <w:r w:rsidRPr="005944B6">
        <w:rPr>
          <w:rStyle w:val="ac"/>
          <w:rFonts w:cs="Arial"/>
          <w:szCs w:val="18"/>
        </w:rPr>
        <w:footnoteRef/>
      </w:r>
      <w:r w:rsidRPr="005944B6">
        <w:t xml:space="preserve"> General Comment No. 6, paragraph 43.</w:t>
      </w:r>
    </w:p>
  </w:footnote>
  <w:footnote w:id="286">
    <w:p w:rsidR="007B2F2E" w:rsidRPr="005944B6" w:rsidRDefault="007B2F2E" w:rsidP="007B2F2E">
      <w:pPr>
        <w:pStyle w:val="aa"/>
      </w:pPr>
      <w:r w:rsidRPr="005944B6">
        <w:rPr>
          <w:rStyle w:val="ac"/>
          <w:rFonts w:cs="Arial"/>
          <w:szCs w:val="18"/>
        </w:rPr>
        <w:footnoteRef/>
      </w:r>
      <w:r w:rsidRPr="005944B6">
        <w:t xml:space="preserve"> General Comment No. 6, paragraph 44.</w:t>
      </w:r>
    </w:p>
  </w:footnote>
  <w:footnote w:id="287">
    <w:p w:rsidR="007B2F2E" w:rsidRPr="005944B6" w:rsidRDefault="007B2F2E" w:rsidP="007B2F2E">
      <w:pPr>
        <w:pStyle w:val="aa"/>
      </w:pPr>
      <w:r w:rsidRPr="005944B6">
        <w:rPr>
          <w:rStyle w:val="ac"/>
          <w:rFonts w:cs="Arial"/>
          <w:szCs w:val="18"/>
        </w:rPr>
        <w:footnoteRef/>
      </w:r>
      <w:r w:rsidRPr="005944B6">
        <w:t xml:space="preserve"> General Comment No. 2, paragraph 36. </w:t>
      </w:r>
    </w:p>
  </w:footnote>
  <w:footnote w:id="288">
    <w:p w:rsidR="007B2F2E" w:rsidRPr="005944B6" w:rsidRDefault="007B2F2E" w:rsidP="007B2F2E">
      <w:pPr>
        <w:pStyle w:val="aa"/>
      </w:pPr>
      <w:r w:rsidRPr="005944B6">
        <w:rPr>
          <w:rStyle w:val="ac"/>
          <w:rFonts w:cs="Arial"/>
          <w:szCs w:val="18"/>
        </w:rPr>
        <w:footnoteRef/>
      </w:r>
      <w:r w:rsidRPr="005944B6">
        <w:t xml:space="preserve"> General Comment No. 5, paragraph 79.</w:t>
      </w:r>
    </w:p>
  </w:footnote>
  <w:footnote w:id="289">
    <w:p w:rsidR="007B2F2E" w:rsidRPr="005944B6" w:rsidRDefault="007B2F2E" w:rsidP="007B2F2E">
      <w:pPr>
        <w:pStyle w:val="aa"/>
      </w:pPr>
      <w:r w:rsidRPr="005944B6">
        <w:rPr>
          <w:rStyle w:val="ac"/>
          <w:rFonts w:cs="Arial"/>
          <w:szCs w:val="18"/>
        </w:rPr>
        <w:footnoteRef/>
      </w:r>
      <w:r w:rsidRPr="005944B6">
        <w:t xml:space="preserve"> General Comment No. 2, paragraph 36. </w:t>
      </w:r>
    </w:p>
  </w:footnote>
  <w:footnote w:id="290">
    <w:p w:rsidR="007B2F2E" w:rsidRPr="005944B6" w:rsidRDefault="007B2F2E" w:rsidP="007B2F2E">
      <w:pPr>
        <w:pStyle w:val="aa"/>
      </w:pPr>
      <w:r w:rsidRPr="005944B6">
        <w:rPr>
          <w:rStyle w:val="ac"/>
          <w:rFonts w:cs="Arial"/>
          <w:szCs w:val="18"/>
        </w:rPr>
        <w:footnoteRef/>
      </w:r>
      <w:r w:rsidRPr="005944B6">
        <w:t xml:space="preserve"> See for instance concluding observations on the European Union (</w:t>
      </w:r>
      <w:r w:rsidRPr="005944B6">
        <w:rPr>
          <w:bCs/>
        </w:rPr>
        <w:t>CRPD/C/EU/CO/1</w:t>
      </w:r>
      <w:r w:rsidRPr="005944B6">
        <w:t xml:space="preserve">), paragraph 33, or on Serbia (CRPD/C/SRB/CO/1), paragraph 19. </w:t>
      </w:r>
    </w:p>
  </w:footnote>
  <w:footnote w:id="291">
    <w:p w:rsidR="007B2F2E" w:rsidRPr="005944B6" w:rsidRDefault="007B2F2E" w:rsidP="007B2F2E">
      <w:pPr>
        <w:pStyle w:val="aa"/>
      </w:pPr>
      <w:r w:rsidRPr="005944B6">
        <w:rPr>
          <w:rStyle w:val="ac"/>
          <w:rFonts w:cs="Arial"/>
          <w:szCs w:val="18"/>
        </w:rPr>
        <w:footnoteRef/>
      </w:r>
      <w:r w:rsidRPr="005944B6">
        <w:t xml:space="preserve"> General Comment No. 2, paragraph 41. </w:t>
      </w:r>
    </w:p>
  </w:footnote>
  <w:footnote w:id="292">
    <w:p w:rsidR="007B2F2E" w:rsidRPr="005944B6" w:rsidRDefault="007B2F2E" w:rsidP="007B2F2E">
      <w:pPr>
        <w:pStyle w:val="aa"/>
      </w:pPr>
      <w:r w:rsidRPr="005944B6">
        <w:rPr>
          <w:rStyle w:val="ac"/>
          <w:rFonts w:cs="Arial"/>
          <w:szCs w:val="18"/>
        </w:rPr>
        <w:footnoteRef/>
      </w:r>
      <w:r w:rsidRPr="005944B6">
        <w:t xml:space="preserve"> General Comment No. 2, paragraph 58. </w:t>
      </w:r>
    </w:p>
  </w:footnote>
  <w:footnote w:id="293">
    <w:p w:rsidR="007B2F2E" w:rsidRPr="005944B6" w:rsidRDefault="007B2F2E" w:rsidP="007B2F2E">
      <w:pPr>
        <w:pStyle w:val="aa"/>
      </w:pPr>
      <w:r w:rsidRPr="005944B6">
        <w:rPr>
          <w:rStyle w:val="ac"/>
          <w:rFonts w:cs="Arial"/>
          <w:szCs w:val="18"/>
        </w:rPr>
        <w:footnoteRef/>
      </w:r>
      <w:r w:rsidRPr="005944B6">
        <w:t xml:space="preserve"> General Comment No. 2, paragraph 91.</w:t>
      </w:r>
    </w:p>
  </w:footnote>
  <w:footnote w:id="294">
    <w:p w:rsidR="007B2F2E" w:rsidRPr="005944B6" w:rsidRDefault="007B2F2E" w:rsidP="007B2F2E">
      <w:pPr>
        <w:pStyle w:val="aa"/>
      </w:pPr>
      <w:r w:rsidRPr="005944B6">
        <w:rPr>
          <w:rStyle w:val="ac"/>
          <w:rFonts w:cs="Arial"/>
          <w:szCs w:val="18"/>
        </w:rPr>
        <w:footnoteRef/>
      </w:r>
      <w:r w:rsidRPr="005944B6">
        <w:t xml:space="preserve"> General Comment No. 2, paragraph 67.</w:t>
      </w:r>
    </w:p>
  </w:footnote>
  <w:footnote w:id="295">
    <w:p w:rsidR="007B2F2E" w:rsidRPr="005944B6" w:rsidRDefault="007B2F2E" w:rsidP="007B2F2E">
      <w:pPr>
        <w:pStyle w:val="aa"/>
      </w:pPr>
      <w:r w:rsidRPr="005944B6">
        <w:rPr>
          <w:rStyle w:val="ac"/>
          <w:rFonts w:cs="Arial"/>
          <w:szCs w:val="18"/>
        </w:rPr>
        <w:footnoteRef/>
      </w:r>
      <w:r w:rsidRPr="005944B6">
        <w:t xml:space="preserve"> See for instance inquiry </w:t>
      </w:r>
      <w:r>
        <w:t>concerning</w:t>
      </w:r>
      <w:r w:rsidRPr="005944B6">
        <w:t xml:space="preserve"> the</w:t>
      </w:r>
      <w:r>
        <w:t xml:space="preserve"> United Kingdom, paragraph 22; c</w:t>
      </w:r>
      <w:r w:rsidRPr="005944B6">
        <w:t xml:space="preserve">oncluding observations on Paraguay (CRPD/C/PRY/CO/1), paragraph 64; </w:t>
      </w:r>
      <w:r>
        <w:t>c</w:t>
      </w:r>
      <w:r w:rsidRPr="005944B6">
        <w:t>oncluding observations on Croatia (CRPD/C/HRV/CO/1), paragraph 42.</w:t>
      </w:r>
    </w:p>
  </w:footnote>
  <w:footnote w:id="296">
    <w:p w:rsidR="007B2F2E" w:rsidRPr="005944B6" w:rsidRDefault="007B2F2E" w:rsidP="007B2F2E">
      <w:pPr>
        <w:pStyle w:val="aa"/>
      </w:pPr>
      <w:r w:rsidRPr="005944B6">
        <w:rPr>
          <w:rStyle w:val="ac"/>
          <w:rFonts w:cs="Arial"/>
          <w:szCs w:val="18"/>
        </w:rPr>
        <w:footnoteRef/>
      </w:r>
      <w:r w:rsidRPr="005944B6">
        <w:t xml:space="preserve"> Concluding observations on Kenya (CRPD/C/KEN/CO/1), paragraph 48.</w:t>
      </w:r>
    </w:p>
  </w:footnote>
  <w:footnote w:id="297">
    <w:p w:rsidR="007B2F2E" w:rsidRPr="005944B6" w:rsidRDefault="007B2F2E" w:rsidP="007B2F2E">
      <w:pPr>
        <w:pStyle w:val="aa"/>
        <w:rPr>
          <w:u w:val="single"/>
        </w:rPr>
      </w:pPr>
      <w:r w:rsidRPr="005944B6">
        <w:rPr>
          <w:rStyle w:val="ac"/>
          <w:rFonts w:cs="Arial"/>
          <w:szCs w:val="18"/>
        </w:rPr>
        <w:footnoteRef/>
      </w:r>
      <w:r w:rsidRPr="005944B6">
        <w:t xml:space="preserve"> See </w:t>
      </w:r>
      <w:r w:rsidRPr="00C70FEE">
        <w:rPr>
          <w:i/>
        </w:rPr>
        <w:t xml:space="preserve">Liliane Gröninger v. Germany </w:t>
      </w:r>
      <w:r w:rsidRPr="00C70FEE">
        <w:t>(C</w:t>
      </w:r>
      <w:r w:rsidRPr="005944B6">
        <w:t>RPD/C/D/2/2010).</w:t>
      </w:r>
    </w:p>
  </w:footnote>
  <w:footnote w:id="298">
    <w:p w:rsidR="00F90A3F" w:rsidRPr="005944B6" w:rsidRDefault="00F90A3F" w:rsidP="00F90A3F">
      <w:pPr>
        <w:pStyle w:val="aa"/>
      </w:pPr>
      <w:r w:rsidRPr="005944B6">
        <w:rPr>
          <w:rStyle w:val="ac"/>
          <w:rFonts w:cs="Arial"/>
          <w:szCs w:val="18"/>
        </w:rPr>
        <w:footnoteRef/>
      </w:r>
      <w:r w:rsidRPr="005944B6">
        <w:t xml:space="preserve"> See for instance inquiry concerning the United Kingdom, paragraph 25.</w:t>
      </w:r>
    </w:p>
  </w:footnote>
  <w:footnote w:id="299">
    <w:p w:rsidR="00F90A3F" w:rsidRPr="005944B6" w:rsidRDefault="00F90A3F" w:rsidP="00F90A3F">
      <w:pPr>
        <w:pStyle w:val="aa"/>
      </w:pPr>
      <w:r w:rsidRPr="005944B6">
        <w:rPr>
          <w:rStyle w:val="ac"/>
          <w:rFonts w:cs="Arial"/>
          <w:szCs w:val="18"/>
        </w:rPr>
        <w:footnoteRef/>
      </w:r>
      <w:r w:rsidRPr="005944B6">
        <w:t xml:space="preserve"> Concluding observations on Mexico (CRPD/C/MEX/CO/1), paragraph 52.</w:t>
      </w:r>
    </w:p>
  </w:footnote>
  <w:footnote w:id="300">
    <w:p w:rsidR="00F90A3F" w:rsidRPr="005944B6" w:rsidRDefault="00F90A3F" w:rsidP="00F90A3F">
      <w:pPr>
        <w:pStyle w:val="aa"/>
      </w:pPr>
      <w:r w:rsidRPr="005944B6">
        <w:rPr>
          <w:rStyle w:val="ac"/>
          <w:rFonts w:cs="Arial"/>
          <w:szCs w:val="18"/>
        </w:rPr>
        <w:footnoteRef/>
      </w:r>
      <w:r w:rsidRPr="005944B6">
        <w:t xml:space="preserve"> See Statement of the CRPD Committee on including the rights of persons with disabilities in the post 2015 agenda on disability and development (May 2013).</w:t>
      </w:r>
    </w:p>
  </w:footnote>
  <w:footnote w:id="301">
    <w:p w:rsidR="00F90A3F" w:rsidRPr="005944B6" w:rsidRDefault="00F90A3F" w:rsidP="00F90A3F">
      <w:pPr>
        <w:pStyle w:val="aa"/>
      </w:pPr>
      <w:r w:rsidRPr="005944B6">
        <w:rPr>
          <w:rStyle w:val="ac"/>
          <w:rFonts w:cs="Arial"/>
          <w:szCs w:val="18"/>
        </w:rPr>
        <w:footnoteRef/>
      </w:r>
      <w:r w:rsidRPr="005944B6">
        <w:t xml:space="preserve"> See for instance concluding observations on Panama (CRPD/C/PAN/CO/1), paragraph 63. </w:t>
      </w:r>
    </w:p>
  </w:footnote>
  <w:footnote w:id="302">
    <w:p w:rsidR="00F90A3F" w:rsidRPr="005944B6" w:rsidRDefault="00F90A3F" w:rsidP="00F90A3F">
      <w:pPr>
        <w:pStyle w:val="aa"/>
      </w:pPr>
      <w:r w:rsidRPr="005944B6">
        <w:rPr>
          <w:rStyle w:val="ac"/>
          <w:rFonts w:cs="Arial"/>
          <w:szCs w:val="18"/>
        </w:rPr>
        <w:footnoteRef/>
      </w:r>
      <w:r w:rsidRPr="005944B6">
        <w:t xml:space="preserve"> General Comment No. 6, paragraph 71.</w:t>
      </w:r>
    </w:p>
  </w:footnote>
  <w:footnote w:id="303">
    <w:p w:rsidR="00F90A3F" w:rsidRPr="005944B6" w:rsidRDefault="00F90A3F" w:rsidP="00F90A3F">
      <w:pPr>
        <w:pStyle w:val="aa"/>
      </w:pPr>
      <w:r w:rsidRPr="005944B6">
        <w:rPr>
          <w:rStyle w:val="ac"/>
          <w:rFonts w:cs="Arial"/>
          <w:szCs w:val="18"/>
        </w:rPr>
        <w:footnoteRef/>
      </w:r>
      <w:r w:rsidRPr="005944B6">
        <w:t xml:space="preserve"> Under article 28 CRPD.</w:t>
      </w:r>
    </w:p>
  </w:footnote>
  <w:footnote w:id="304">
    <w:p w:rsidR="00F90A3F" w:rsidRPr="005944B6" w:rsidRDefault="00F90A3F" w:rsidP="00F90A3F">
      <w:pPr>
        <w:pStyle w:val="aa"/>
      </w:pPr>
      <w:r w:rsidRPr="005944B6">
        <w:rPr>
          <w:rStyle w:val="ac"/>
          <w:rFonts w:cs="Arial"/>
          <w:szCs w:val="18"/>
        </w:rPr>
        <w:footnoteRef/>
      </w:r>
      <w:r w:rsidRPr="005944B6">
        <w:t xml:space="preserve"> Under articles 23 and 25 CRPD.</w:t>
      </w:r>
    </w:p>
  </w:footnote>
  <w:footnote w:id="305">
    <w:p w:rsidR="00F90A3F" w:rsidRPr="005944B6" w:rsidRDefault="00F90A3F" w:rsidP="00F90A3F">
      <w:pPr>
        <w:pStyle w:val="aa"/>
      </w:pPr>
      <w:r w:rsidRPr="005944B6">
        <w:rPr>
          <w:rStyle w:val="ac"/>
          <w:rFonts w:cs="Arial"/>
          <w:szCs w:val="18"/>
        </w:rPr>
        <w:footnoteRef/>
      </w:r>
      <w:r w:rsidRPr="005944B6">
        <w:t xml:space="preserve"> Under article 24 CRPD.</w:t>
      </w:r>
    </w:p>
  </w:footnote>
  <w:footnote w:id="306">
    <w:p w:rsidR="00F90A3F" w:rsidRPr="005944B6" w:rsidRDefault="00F90A3F" w:rsidP="00F90A3F">
      <w:pPr>
        <w:pStyle w:val="aa"/>
      </w:pPr>
      <w:r w:rsidRPr="005944B6">
        <w:rPr>
          <w:rStyle w:val="ac"/>
          <w:rFonts w:cs="Arial"/>
          <w:szCs w:val="18"/>
        </w:rPr>
        <w:footnoteRef/>
      </w:r>
      <w:r w:rsidRPr="005944B6">
        <w:t xml:space="preserve"> Under articles 6, 16, 17 and 25 CRPD.</w:t>
      </w:r>
    </w:p>
  </w:footnote>
  <w:footnote w:id="307">
    <w:p w:rsidR="00F90A3F" w:rsidRPr="005944B6" w:rsidRDefault="00F90A3F" w:rsidP="00F90A3F">
      <w:pPr>
        <w:pStyle w:val="aa"/>
      </w:pPr>
      <w:r w:rsidRPr="005944B6">
        <w:rPr>
          <w:rStyle w:val="ac"/>
          <w:rFonts w:cs="Arial"/>
          <w:szCs w:val="18"/>
        </w:rPr>
        <w:footnoteRef/>
      </w:r>
      <w:r w:rsidRPr="005944B6">
        <w:t xml:space="preserve"> Under article 27 CRPD.</w:t>
      </w:r>
    </w:p>
  </w:footnote>
  <w:footnote w:id="308">
    <w:p w:rsidR="00F90A3F" w:rsidRPr="005944B6" w:rsidRDefault="00F90A3F" w:rsidP="00F90A3F">
      <w:pPr>
        <w:pStyle w:val="aa"/>
      </w:pPr>
      <w:r w:rsidRPr="005944B6">
        <w:rPr>
          <w:rStyle w:val="ac"/>
          <w:rFonts w:cs="Arial"/>
          <w:szCs w:val="18"/>
        </w:rPr>
        <w:footnoteRef/>
      </w:r>
      <w:r w:rsidRPr="005944B6">
        <w:t xml:space="preserve"> Under article 9 CRPD.</w:t>
      </w:r>
    </w:p>
  </w:footnote>
  <w:footnote w:id="309">
    <w:p w:rsidR="00F90A3F" w:rsidRPr="005944B6" w:rsidRDefault="00F90A3F" w:rsidP="00F90A3F">
      <w:pPr>
        <w:pStyle w:val="aa"/>
      </w:pPr>
      <w:r w:rsidRPr="005944B6">
        <w:rPr>
          <w:rStyle w:val="ac"/>
          <w:rFonts w:cs="Arial"/>
          <w:szCs w:val="18"/>
        </w:rPr>
        <w:footnoteRef/>
      </w:r>
      <w:r w:rsidRPr="005944B6">
        <w:t xml:space="preserve"> Under article 5 and 28 CRPD.</w:t>
      </w:r>
    </w:p>
  </w:footnote>
  <w:footnote w:id="310">
    <w:p w:rsidR="00F90A3F" w:rsidRPr="005944B6" w:rsidRDefault="00F90A3F" w:rsidP="00F90A3F">
      <w:pPr>
        <w:pStyle w:val="aa"/>
      </w:pPr>
      <w:r w:rsidRPr="005944B6">
        <w:rPr>
          <w:rStyle w:val="ac"/>
          <w:rFonts w:cs="Arial"/>
          <w:szCs w:val="18"/>
        </w:rPr>
        <w:footnoteRef/>
      </w:r>
      <w:r w:rsidRPr="005944B6">
        <w:t xml:space="preserve"> Under article 9 and 30 CRPD.</w:t>
      </w:r>
    </w:p>
  </w:footnote>
  <w:footnote w:id="311">
    <w:p w:rsidR="00F90A3F" w:rsidRPr="005944B6" w:rsidRDefault="00F90A3F" w:rsidP="00F90A3F">
      <w:pPr>
        <w:pStyle w:val="aa"/>
      </w:pPr>
      <w:r w:rsidRPr="005944B6">
        <w:rPr>
          <w:rStyle w:val="ac"/>
          <w:rFonts w:cs="Arial"/>
          <w:szCs w:val="18"/>
        </w:rPr>
        <w:footnoteRef/>
      </w:r>
      <w:r w:rsidRPr="005944B6">
        <w:t xml:space="preserve"> Under articles 7 and 13 CRPD.</w:t>
      </w:r>
    </w:p>
  </w:footnote>
  <w:footnote w:id="312">
    <w:p w:rsidR="00F90A3F" w:rsidRDefault="00F90A3F" w:rsidP="00F90A3F">
      <w:pPr>
        <w:pStyle w:val="aa"/>
      </w:pPr>
      <w:r w:rsidRPr="005944B6">
        <w:rPr>
          <w:rStyle w:val="ac"/>
          <w:rFonts w:cs="Arial"/>
          <w:szCs w:val="18"/>
        </w:rPr>
        <w:footnoteRef/>
      </w:r>
      <w:r w:rsidRPr="005944B6">
        <w:t xml:space="preserve"> Under article 31 CRPD.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869D5"/>
    <w:multiLevelType w:val="hybridMultilevel"/>
    <w:tmpl w:val="BDE817BE"/>
    <w:lvl w:ilvl="0" w:tplc="389E6DF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14DC9"/>
    <w:multiLevelType w:val="hybridMultilevel"/>
    <w:tmpl w:val="AC52324E"/>
    <w:lvl w:ilvl="0" w:tplc="F7DC402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C833ED"/>
    <w:multiLevelType w:val="hybridMultilevel"/>
    <w:tmpl w:val="BF22309C"/>
    <w:lvl w:ilvl="0" w:tplc="F0A6A82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91"/>
    <w:rsid w:val="00000FEB"/>
    <w:rsid w:val="00005491"/>
    <w:rsid w:val="0000597B"/>
    <w:rsid w:val="00015E5F"/>
    <w:rsid w:val="00071222"/>
    <w:rsid w:val="00091F02"/>
    <w:rsid w:val="000A2D64"/>
    <w:rsid w:val="000C7315"/>
    <w:rsid w:val="000D57E1"/>
    <w:rsid w:val="000D6112"/>
    <w:rsid w:val="000F0BD1"/>
    <w:rsid w:val="000F562F"/>
    <w:rsid w:val="001250C7"/>
    <w:rsid w:val="001443F8"/>
    <w:rsid w:val="0017720A"/>
    <w:rsid w:val="001F09C4"/>
    <w:rsid w:val="00206C26"/>
    <w:rsid w:val="00212065"/>
    <w:rsid w:val="0022415F"/>
    <w:rsid w:val="00234762"/>
    <w:rsid w:val="00240440"/>
    <w:rsid w:val="002620FB"/>
    <w:rsid w:val="00274DCA"/>
    <w:rsid w:val="002A6FF1"/>
    <w:rsid w:val="002C1383"/>
    <w:rsid w:val="002F40B6"/>
    <w:rsid w:val="002F718F"/>
    <w:rsid w:val="002F73CD"/>
    <w:rsid w:val="0030629B"/>
    <w:rsid w:val="00313D5C"/>
    <w:rsid w:val="00333605"/>
    <w:rsid w:val="003463F3"/>
    <w:rsid w:val="00352327"/>
    <w:rsid w:val="003545B1"/>
    <w:rsid w:val="003745DF"/>
    <w:rsid w:val="003800DE"/>
    <w:rsid w:val="003E20C9"/>
    <w:rsid w:val="003E2A56"/>
    <w:rsid w:val="003F6448"/>
    <w:rsid w:val="00405036"/>
    <w:rsid w:val="00406DBC"/>
    <w:rsid w:val="00427768"/>
    <w:rsid w:val="00450762"/>
    <w:rsid w:val="00465E47"/>
    <w:rsid w:val="0047082E"/>
    <w:rsid w:val="00482066"/>
    <w:rsid w:val="00487D0D"/>
    <w:rsid w:val="004C3C1B"/>
    <w:rsid w:val="004F3C1F"/>
    <w:rsid w:val="005017C2"/>
    <w:rsid w:val="00502502"/>
    <w:rsid w:val="00511122"/>
    <w:rsid w:val="00512B9A"/>
    <w:rsid w:val="0055408B"/>
    <w:rsid w:val="0057299E"/>
    <w:rsid w:val="00576AEF"/>
    <w:rsid w:val="0058340F"/>
    <w:rsid w:val="005A689E"/>
    <w:rsid w:val="005B4D8C"/>
    <w:rsid w:val="005C7580"/>
    <w:rsid w:val="00614188"/>
    <w:rsid w:val="00641BA2"/>
    <w:rsid w:val="00650930"/>
    <w:rsid w:val="00662A28"/>
    <w:rsid w:val="00671C3D"/>
    <w:rsid w:val="00680524"/>
    <w:rsid w:val="00693FAA"/>
    <w:rsid w:val="006A7DDE"/>
    <w:rsid w:val="006F35FC"/>
    <w:rsid w:val="00720EAA"/>
    <w:rsid w:val="00730B8B"/>
    <w:rsid w:val="00733711"/>
    <w:rsid w:val="00744D33"/>
    <w:rsid w:val="00745516"/>
    <w:rsid w:val="00757DE3"/>
    <w:rsid w:val="00776499"/>
    <w:rsid w:val="007A217D"/>
    <w:rsid w:val="007A2B8B"/>
    <w:rsid w:val="007B2EBF"/>
    <w:rsid w:val="007B2F2E"/>
    <w:rsid w:val="007B7BF8"/>
    <w:rsid w:val="007C17C9"/>
    <w:rsid w:val="007D0A2E"/>
    <w:rsid w:val="007F3B19"/>
    <w:rsid w:val="007F5C98"/>
    <w:rsid w:val="00810347"/>
    <w:rsid w:val="0082286D"/>
    <w:rsid w:val="00892F0D"/>
    <w:rsid w:val="008C6349"/>
    <w:rsid w:val="008F060F"/>
    <w:rsid w:val="0090635C"/>
    <w:rsid w:val="009223B7"/>
    <w:rsid w:val="009520DD"/>
    <w:rsid w:val="009541C7"/>
    <w:rsid w:val="009921DB"/>
    <w:rsid w:val="009935D0"/>
    <w:rsid w:val="009C38F9"/>
    <w:rsid w:val="009D20B2"/>
    <w:rsid w:val="00A32912"/>
    <w:rsid w:val="00A32C54"/>
    <w:rsid w:val="00A32FE8"/>
    <w:rsid w:val="00A465C1"/>
    <w:rsid w:val="00A73A2E"/>
    <w:rsid w:val="00A905D5"/>
    <w:rsid w:val="00A91780"/>
    <w:rsid w:val="00AC3C31"/>
    <w:rsid w:val="00AC6D53"/>
    <w:rsid w:val="00AF1B71"/>
    <w:rsid w:val="00AF391A"/>
    <w:rsid w:val="00B61E9E"/>
    <w:rsid w:val="00B66781"/>
    <w:rsid w:val="00B7754E"/>
    <w:rsid w:val="00B8259B"/>
    <w:rsid w:val="00B82ED5"/>
    <w:rsid w:val="00B84D45"/>
    <w:rsid w:val="00BA1A27"/>
    <w:rsid w:val="00BA7983"/>
    <w:rsid w:val="00BC5A54"/>
    <w:rsid w:val="00BD06AA"/>
    <w:rsid w:val="00BD49F3"/>
    <w:rsid w:val="00BD6BD1"/>
    <w:rsid w:val="00BE3FD2"/>
    <w:rsid w:val="00BF3B21"/>
    <w:rsid w:val="00C03003"/>
    <w:rsid w:val="00C17A93"/>
    <w:rsid w:val="00C258B4"/>
    <w:rsid w:val="00C35F06"/>
    <w:rsid w:val="00C37709"/>
    <w:rsid w:val="00C433F7"/>
    <w:rsid w:val="00CA4D49"/>
    <w:rsid w:val="00CA7756"/>
    <w:rsid w:val="00CA7ED7"/>
    <w:rsid w:val="00CC1878"/>
    <w:rsid w:val="00CC6645"/>
    <w:rsid w:val="00D31577"/>
    <w:rsid w:val="00D626EB"/>
    <w:rsid w:val="00D91659"/>
    <w:rsid w:val="00DB218D"/>
    <w:rsid w:val="00DC2C85"/>
    <w:rsid w:val="00DF618D"/>
    <w:rsid w:val="00E0474D"/>
    <w:rsid w:val="00E1308B"/>
    <w:rsid w:val="00E30F70"/>
    <w:rsid w:val="00E33B8A"/>
    <w:rsid w:val="00E67F3F"/>
    <w:rsid w:val="00E8041D"/>
    <w:rsid w:val="00EE3CFF"/>
    <w:rsid w:val="00EF3874"/>
    <w:rsid w:val="00F16AB9"/>
    <w:rsid w:val="00F177C4"/>
    <w:rsid w:val="00F75219"/>
    <w:rsid w:val="00F7548E"/>
    <w:rsid w:val="00F87D84"/>
    <w:rsid w:val="00F90A3F"/>
    <w:rsid w:val="00F911D4"/>
    <w:rsid w:val="00FA5834"/>
    <w:rsid w:val="00FB1F6B"/>
    <w:rsid w:val="00FB3CB7"/>
    <w:rsid w:val="00FE140F"/>
    <w:rsid w:val="00FF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9BF4BEB-31CF-4B9F-82EC-CC778D08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0B6"/>
    <w:pPr>
      <w:tabs>
        <w:tab w:val="center" w:pos="4252"/>
        <w:tab w:val="right" w:pos="8504"/>
      </w:tabs>
      <w:snapToGrid w:val="0"/>
    </w:pPr>
  </w:style>
  <w:style w:type="character" w:customStyle="1" w:styleId="a4">
    <w:name w:val="ヘッダー (文字)"/>
    <w:basedOn w:val="a0"/>
    <w:link w:val="a3"/>
    <w:uiPriority w:val="99"/>
    <w:rsid w:val="002F40B6"/>
  </w:style>
  <w:style w:type="paragraph" w:styleId="a5">
    <w:name w:val="footer"/>
    <w:basedOn w:val="a"/>
    <w:link w:val="a6"/>
    <w:uiPriority w:val="99"/>
    <w:unhideWhenUsed/>
    <w:rsid w:val="002F40B6"/>
    <w:pPr>
      <w:tabs>
        <w:tab w:val="center" w:pos="4252"/>
        <w:tab w:val="right" w:pos="8504"/>
      </w:tabs>
      <w:snapToGrid w:val="0"/>
    </w:pPr>
  </w:style>
  <w:style w:type="character" w:customStyle="1" w:styleId="a6">
    <w:name w:val="フッター (文字)"/>
    <w:basedOn w:val="a0"/>
    <w:link w:val="a5"/>
    <w:uiPriority w:val="99"/>
    <w:rsid w:val="002F40B6"/>
  </w:style>
  <w:style w:type="paragraph" w:styleId="a7">
    <w:name w:val="List Paragraph"/>
    <w:basedOn w:val="a"/>
    <w:uiPriority w:val="34"/>
    <w:qFormat/>
    <w:rsid w:val="005B4D8C"/>
    <w:pPr>
      <w:ind w:leftChars="400" w:left="840"/>
    </w:pPr>
  </w:style>
  <w:style w:type="paragraph" w:styleId="a8">
    <w:name w:val="Balloon Text"/>
    <w:basedOn w:val="a"/>
    <w:link w:val="a9"/>
    <w:uiPriority w:val="99"/>
    <w:semiHidden/>
    <w:unhideWhenUsed/>
    <w:rsid w:val="00B84D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D45"/>
    <w:rPr>
      <w:rFonts w:asciiTheme="majorHAnsi" w:eastAsiaTheme="majorEastAsia" w:hAnsiTheme="majorHAnsi" w:cstheme="majorBidi"/>
      <w:sz w:val="18"/>
      <w:szCs w:val="18"/>
    </w:rPr>
  </w:style>
  <w:style w:type="paragraph" w:styleId="aa">
    <w:name w:val="footnote text"/>
    <w:aliases w:val="5_G"/>
    <w:basedOn w:val="a"/>
    <w:link w:val="ab"/>
    <w:autoRedefine/>
    <w:uiPriority w:val="99"/>
    <w:unhideWhenUsed/>
    <w:qFormat/>
    <w:rsid w:val="00C17A93"/>
    <w:pPr>
      <w:widowControl/>
      <w:spacing w:line="240" w:lineRule="atLeast"/>
    </w:pPr>
    <w:rPr>
      <w:rFonts w:ascii="Arial" w:hAnsi="Arial"/>
      <w:iCs/>
      <w:kern w:val="0"/>
      <w:sz w:val="18"/>
      <w:szCs w:val="24"/>
      <w:lang w:val="en-GB" w:eastAsia="en-US"/>
    </w:rPr>
  </w:style>
  <w:style w:type="character" w:customStyle="1" w:styleId="ab">
    <w:name w:val="脚注文字列 (文字)"/>
    <w:aliases w:val="5_G (文字)"/>
    <w:basedOn w:val="a0"/>
    <w:link w:val="aa"/>
    <w:uiPriority w:val="99"/>
    <w:rsid w:val="00C17A93"/>
    <w:rPr>
      <w:rFonts w:ascii="Arial" w:hAnsi="Arial"/>
      <w:iCs/>
      <w:kern w:val="0"/>
      <w:sz w:val="18"/>
      <w:szCs w:val="24"/>
      <w:lang w:val="en-GB" w:eastAsia="en-US"/>
    </w:rPr>
  </w:style>
  <w:style w:type="character" w:styleId="ac">
    <w:name w:val="footnote reference"/>
    <w:aliases w:val="4_G"/>
    <w:basedOn w:val="a0"/>
    <w:uiPriority w:val="99"/>
    <w:unhideWhenUsed/>
    <w:rsid w:val="00C17A93"/>
    <w:rPr>
      <w:vertAlign w:val="superscript"/>
    </w:rPr>
  </w:style>
  <w:style w:type="paragraph" w:styleId="Web">
    <w:name w:val="Normal (Web)"/>
    <w:basedOn w:val="a"/>
    <w:uiPriority w:val="99"/>
    <w:unhideWhenUsed/>
    <w:rsid w:val="005017C2"/>
    <w:pPr>
      <w:widowControl/>
      <w:spacing w:before="100" w:beforeAutospacing="1" w:after="100" w:afterAutospacing="1" w:line="276" w:lineRule="auto"/>
    </w:pPr>
    <w:rPr>
      <w:rFonts w:ascii="Times New Roman" w:hAnsi="Times New Roman" w:cs="Times New Roman"/>
      <w:kern w:val="0"/>
      <w:sz w:val="20"/>
      <w:szCs w:val="20"/>
      <w:lang w:eastAsia="en-US"/>
    </w:rPr>
  </w:style>
  <w:style w:type="character" w:styleId="ad">
    <w:name w:val="Hyperlink"/>
    <w:basedOn w:val="a0"/>
    <w:uiPriority w:val="99"/>
    <w:unhideWhenUsed/>
    <w:rsid w:val="00FB3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CRPD/Pages/GC.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4239</Words>
  <Characters>24165</Characters>
  <Application>Microsoft Office Word</Application>
  <DocSecurity>4</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Araki</cp:lastModifiedBy>
  <cp:revision>2</cp:revision>
  <cp:lastPrinted>2019-10-23T03:54:00Z</cp:lastPrinted>
  <dcterms:created xsi:type="dcterms:W3CDTF">2019-10-25T08:51:00Z</dcterms:created>
  <dcterms:modified xsi:type="dcterms:W3CDTF">2019-10-25T08:51:00Z</dcterms:modified>
</cp:coreProperties>
</file>